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</w:pP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  <w:t>Сообщение об основных полномочиях в сфере муниципального земельного контроля, соблюдении обязательных требований земельного законодательства, мерах ответственности за нарушения земельного законодательства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en-US"/>
        </w:rPr>
      </w:pPr>
    </w:p>
    <w:p w:rsidR="00087578" w:rsidRPr="00A34A9A" w:rsidRDefault="001357B7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05</w:t>
      </w:r>
      <w:bookmarkStart w:id="0" w:name="_GoBack"/>
      <w:bookmarkEnd w:id="0"/>
      <w:r w:rsidR="00087578"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CE3BC6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октября</w:t>
      </w:r>
      <w:r w:rsidR="00087578"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2021 года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087578" w:rsidRPr="00A34A9A" w:rsidRDefault="00087578" w:rsidP="00A34A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Земельный отдел управления имущественных отношений администрации городского округа Котельники Московской (далее - администрация) области в рамках осуществления муниципального земельного контроля на территории городского округа Котельники информирует физических лиц, юридических лиц и индивидуальных предпринимателей </w:t>
      </w:r>
      <w:r w:rsid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 следующем.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Статьей 72 ЗК РФ, статьей 6 Закона «Об общих принципах организации местного самоуправления в Российской Федерации» от 06.10.2003г. № 131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noBreakHyphen/>
        <w:t xml:space="preserve"> ФЗ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органы местного самоуправления наделены общими полномочиями по контролю </w:t>
      </w:r>
      <w:r w:rsid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за использованием земель на территории городского округа. Организация и проведение муниципального земельного контроля осуществляются в соответствии с принципами законности, презумпции невиновности, невмешательства в деятельность юридических лиц и индивидуальных предпринимателей при осуществлении ими предпринимательской деятельности.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Целями и задачами муниципального земельного контроля является соблюдение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 и законодательства Московской области </w:t>
      </w:r>
      <w:r w:rsid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в отношении расположенных в границах городского округа Котельники Московской области объектов земельных отношений.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Объектом муниципального земельного контроля являются земельные участки, находящиеся в границах городского округа Котельники Московской области, независимо от ведомственной принадлежности и формы собственности.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Органом местного самоуправления, уполномоченным на осуществление муниципального земельного контроля, является администрация городского округа Котельники Московской области, функциональным органом администрации, осуществляющим муниципальный земельный контроль, является земельный отдел управления имущественных отношений администрации.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На территории городского округа Котельники Московской области осуществляется муниципальный земельный контроль действующего законодательства за соблюдением: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на указанный земельный участок;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и (или) разрешенным использованием;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требований законодательства, связанных с обязанностью по приведению земель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в состояние, пригодное для использования по целевому назначению;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агрохимикатами</w:t>
      </w:r>
      <w:proofErr w:type="spellEnd"/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требований и обязательных мероприятий по улучшению земель и охране почв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от ветровой, водной эрозии и предотвращению других процессов, ухудшающих качественное состояние земель;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требований, связанных с обязательным использованием земельных участков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с сельскохозяйственным производством деятельности;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обязанностей по рекультивации земель при осуществлении строительных, мелиоративных, изыскательских и иных работ, в том числе работ, осуществляемых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для внутрихозяйственных или собственных надобностей;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требований законодательства, связанных с невыполнением в срок законного предписания органа муниципального контроля.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В соответствии с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Земельным Кодексом Российской Федерации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(далее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noBreakHyphen/>
        <w:t xml:space="preserve"> ЗК РФ)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от 25.10.2001г. № 136-ФЗ 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права на земельные участки,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«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 государственной регистрации недвижимости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»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(статья 25 ЗК РФ).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Права на земельные участки, удостоверяются документами в порядке, установленном Федеральным законом </w:t>
      </w:r>
      <w:r w:rsid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«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О государственной регистрации недвижимости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»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(статья 26 ЗК РФ).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Статья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65 ЗК РФ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гласит, что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Для целей налогообложения устанавливается кадастровая стоимость земельного участка по результатам государственной кадастровой оценки земель. Порядок определения размера арендной платы за земли, государственная собственность на которые не разграничена, устанавливается в соответствии с действующим законодательством.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Согласно </w:t>
      </w: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статье 42 ЗК РФ</w:t>
      </w:r>
      <w:r w:rsidRPr="00A34A9A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собственники земельных участков и лица, не являющиеся собственниками земельных участков, обязаны: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использовать земельные участки в соответствии с их целевым назначением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 принадлежностью к той или иной категории земель и разрешенным использованием </w:t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способами, которые не должны наносить вред окружающей среде, в том числе земле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как природному объекту;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сохранять межевые, геодезические и другие специальные знаки, установленные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на земельных участках в соответствии с законодательством;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своевременно приступать к использованию земельных участков в случаях,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если сроки освоения земельных участков предусмотрены договорами;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своевременно производить платежи за землю;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не допускать загрязнение, захламление, деградацию и ухудшение плодородия почв на землях соответствующих категорий;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выполнять иные требования, предусмотренные настоящим Кодексом, федеральными законами.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Статьей 77 Федерального закона от 10.01.2002 № 7-ФЗ «Об охране окружающей среды»</w:t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установлено, что 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 природных ландшафтов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b/>
          <w:bCs/>
          <w:sz w:val="26"/>
          <w:szCs w:val="26"/>
          <w:lang w:bidi="en-US"/>
        </w:rPr>
        <w:t>Статья 6 Федерального закона от 24.07.2002 № 101-ФЗ «Об обороте земель сельскохозяйственного назначения»</w:t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гласит: земельный участок из земель сельскохозяйственного назначения, за исключением земельного участка, являющегося предметом ипотеки, а также земельного участка, в отношении собственника которого судом возбуждено дело о банкротстве, принудительно может быть изъят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у его собственника в судебном порядке в случае, если земельный участок используется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 среде.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Кодексом Российской Федерации об административных правонарушениях (далее - КОАП) от 30.12.2001г. № 195-ФЗ, а также пунктом 3.1 статьи 16.5 Закона Московской области от 04.05.2016 № 37/2016-ОЗ «Кодекс Московской области об административных правонарушениях» предусмотрено наложение административного штрафа в том числе за: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(статья 7.1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нарушение сроков и порядка переоформления права постоянного (бессрочного) пользования земельными участками на право аренды земельных участков или сроков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 порядка приобретения земельных участков в собственность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(статья 7.34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порча земель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(статья 8.6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использование земельного участка не по целевому назначению в соответствии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его принадлежностью к той или иной категории земель и (или) разрешенным использованием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(статья 8.8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невыполнение или несвоевременное выполнение обязанностей по приведению земель в состояние, пригодное для использования по целевому назначению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(часть 4 статьи 8.8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(часть 1 статья 19.4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соответствии с федеральными законами на осуществление государственного надзора, должностного лица органа муниципального контроля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(статья 19.4.1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(статья 19.5 КОАП);</w:t>
      </w:r>
    </w:p>
    <w:p w:rsidR="00087578" w:rsidRPr="00A34A9A" w:rsidRDefault="00087578" w:rsidP="00A34A9A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непредставление сведений (информации)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(статья 19.7 КОАП);</w:t>
      </w:r>
    </w:p>
    <w:p w:rsidR="00CE3BC6" w:rsidRPr="00CE3BC6" w:rsidRDefault="00087578" w:rsidP="00CE3BC6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не проведение мероприятий по удалению с земельных участков борщевика Сосновского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(часть 5 статьи 6.11 Кодекса Московской области)</w:t>
      </w:r>
      <w:r w:rsid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Учитывая вышеизложенное, администрация информирует о необходимости соблюдения требований земельного законодательства на территории городского округа Котельники Московской области, а также оформления документов на землепользование под объектами недвижимого имущества, находящимися в собственности, безвозмездном пользовании, хозяйственном ведении, оперативном управлении.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Для оформления документов на землепользование и исчисления земельного налога или арендной платы за земельные участки физическим и юридическим лицам, индивидуальным предпринимателям </w:t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noBreakHyphen/>
        <w:t xml:space="preserve"> необходимо поставить земельные участки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на государственный кадастровый учёт.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Дополнительную информацию можно получить в земельном отделе управления имущественных отношений администрации по адресу: </w:t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 xml:space="preserve">Московская область, </w:t>
      </w:r>
      <w:r w:rsid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b/>
          <w:sz w:val="26"/>
          <w:szCs w:val="26"/>
          <w:lang w:bidi="en-US"/>
        </w:rPr>
        <w:t>г. Котельники, Дзержинское шоссе, д. 5/4, кабинет 101, телефон (498) 553-73-50.</w:t>
      </w:r>
    </w:p>
    <w:p w:rsidR="00087578" w:rsidRPr="00A34A9A" w:rsidRDefault="00087578" w:rsidP="000875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Наличие в силу закона права на использование земельного участка не освобождает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обязанности оформления в установленном порядке данного права и внесения платы </w:t>
      </w:r>
      <w:r w:rsidR="00A34A9A">
        <w:rPr>
          <w:rFonts w:ascii="Times New Roman" w:eastAsia="Times New Roman" w:hAnsi="Times New Roman" w:cs="Times New Roman"/>
          <w:sz w:val="26"/>
          <w:szCs w:val="26"/>
          <w:lang w:bidi="en-US"/>
        </w:rPr>
        <w:br/>
      </w:r>
      <w:r w:rsidRPr="00A34A9A">
        <w:rPr>
          <w:rFonts w:ascii="Times New Roman" w:eastAsia="Times New Roman" w:hAnsi="Times New Roman" w:cs="Times New Roman"/>
          <w:sz w:val="26"/>
          <w:szCs w:val="26"/>
          <w:lang w:bidi="en-US"/>
        </w:rPr>
        <w:t>за землю в установленных порядке и размере.</w:t>
      </w:r>
    </w:p>
    <w:p w:rsidR="00FF1458" w:rsidRDefault="00FF1458"/>
    <w:sectPr w:rsidR="00FF1458" w:rsidSect="00A34A9A">
      <w:pgSz w:w="11906" w:h="16838"/>
      <w:pgMar w:top="99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1014"/>
    <w:multiLevelType w:val="hybridMultilevel"/>
    <w:tmpl w:val="07244988"/>
    <w:lvl w:ilvl="0" w:tplc="4D0E8C9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B5087ECC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FAB0FD46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0AACE562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71E03B7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1EB8C162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85AA2C6C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9312B6C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78605B3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1" w15:restartNumberingAfterBreak="0">
    <w:nsid w:val="69826730"/>
    <w:multiLevelType w:val="hybridMultilevel"/>
    <w:tmpl w:val="D2EE69EC"/>
    <w:lvl w:ilvl="0" w:tplc="1CD45A3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6838CB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9E06F89C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098E10F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DF9AA8A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DBB09D6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9410D5C0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D362F6E0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7F8698C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abstractNum w:abstractNumId="2" w15:restartNumberingAfterBreak="0">
    <w:nsid w:val="6A1913E0"/>
    <w:multiLevelType w:val="hybridMultilevel"/>
    <w:tmpl w:val="736A3AB2"/>
    <w:lvl w:ilvl="0" w:tplc="294A82A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ADF6670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6F244AE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6E24B7DE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4D02A3CE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81646EBC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85323A10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E312CA5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4E823D5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C3"/>
    <w:rsid w:val="00087578"/>
    <w:rsid w:val="001357B7"/>
    <w:rsid w:val="006316EE"/>
    <w:rsid w:val="00A34A9A"/>
    <w:rsid w:val="00AF772B"/>
    <w:rsid w:val="00CD39C3"/>
    <w:rsid w:val="00CE3BC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D3BA"/>
  <w15:chartTrackingRefBased/>
  <w15:docId w15:val="{9F0924C5-FEC2-4D12-AD4E-671C733C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Батраев Д.Р.</dc:creator>
  <cp:keywords/>
  <dc:description/>
  <cp:lastModifiedBy>Батраев Д.Р.</cp:lastModifiedBy>
  <cp:revision>6</cp:revision>
  <dcterms:created xsi:type="dcterms:W3CDTF">2021-07-05T09:28:00Z</dcterms:created>
  <dcterms:modified xsi:type="dcterms:W3CDTF">2021-10-05T11:33:00Z</dcterms:modified>
</cp:coreProperties>
</file>