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3"/>
        <w:ind w:left="609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</w:t>
      </w:r>
      <w:r/>
    </w:p>
    <w:p>
      <w:pPr>
        <w:pStyle w:val="383"/>
        <w:ind w:left="609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ind w:left="6096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городского округа Котельники Московской области </w:t>
      </w:r>
      <w:r/>
      <w:r>
        <w:rPr>
          <w:rFonts w:ascii="Times New Roman" w:hAnsi="Times New Roman"/>
          <w:sz w:val="20"/>
          <w:szCs w:val="20"/>
        </w:rPr>
      </w:r>
      <w:r/>
    </w:p>
    <w:p>
      <w:pPr>
        <w:pStyle w:val="383"/>
        <w:ind w:left="6096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_________  </w:t>
      </w:r>
      <w:r>
        <w:rPr>
          <w:rFonts w:ascii="Times New Roman" w:hAnsi="Times New Roman"/>
          <w:sz w:val="28"/>
          <w:szCs w:val="28"/>
        </w:rPr>
        <w:t xml:space="preserve">№ __________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383"/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383"/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383"/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383"/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383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383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 xml:space="preserve">администрацией городского округа Котельники Московской области контроля (надзора) на автомобильном транспорте, городском наземном электрическом транспорте и в дорожном хозяйстве на территории Московской области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2022-2024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385"/>
        <w:ind w:left="0" w:firstLine="567"/>
        <w:jc w:val="center"/>
        <w:spacing w:lineRule="exact" w:line="295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  <w:r/>
    </w:p>
    <w:p>
      <w:pPr>
        <w:pStyle w:val="385"/>
        <w:ind w:left="0" w:firstLine="567"/>
        <w:jc w:val="center"/>
        <w:spacing w:lineRule="exact" w:line="295"/>
        <w:rPr>
          <w:b w:val="false"/>
          <w:bCs w:val="false"/>
          <w:sz w:val="28"/>
          <w:lang w:val="ru-RU"/>
        </w:rPr>
      </w:pPr>
      <w:r>
        <w:rPr>
          <w:b w:val="false"/>
          <w:sz w:val="36"/>
          <w:szCs w:val="36"/>
        </w:rPr>
        <w:t xml:space="preserve">ПАСПОРТ</w:t>
      </w:r>
      <w:r>
        <w:rPr>
          <w:b w:val="false"/>
          <w:bCs w:val="false"/>
          <w:sz w:val="28"/>
          <w:lang w:val="ru-RU"/>
        </w:rPr>
      </w:r>
      <w:r/>
    </w:p>
    <w:p>
      <w:pPr>
        <w:pStyle w:val="385"/>
        <w:ind w:left="0" w:firstLine="567"/>
        <w:jc w:val="center"/>
        <w:spacing w:lineRule="exact" w:line="295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  <w:r/>
    </w:p>
    <w:tbl>
      <w:tblPr>
        <w:tblW w:w="0" w:type="auto"/>
        <w:tblInd w:w="1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>
        <w:trPr>
          <w:trHeight w:val="551"/>
        </w:trPr>
        <w:tc>
          <w:tcPr>
            <w:tcW w:w="3353" w:type="dxa"/>
            <w:vAlign w:val="top"/>
            <w:textDirection w:val="lrTb"/>
            <w:noWrap w:val="false"/>
          </w:tcPr>
          <w:p>
            <w:pPr>
              <w:pStyle w:val="392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</w:t>
            </w:r>
            <w:r/>
          </w:p>
        </w:tc>
        <w:tc>
          <w:tcPr>
            <w:tcW w:w="6815" w:type="dxa"/>
            <w:vAlign w:val="top"/>
            <w:textDirection w:val="lrTb"/>
            <w:noWrap w:val="false"/>
          </w:tcPr>
          <w:p>
            <w:pPr>
              <w:pStyle w:val="392"/>
              <w:ind w:left="110"/>
              <w:jc w:val="both"/>
              <w:spacing w:lineRule="auto" w:line="276"/>
              <w:tabs>
                <w:tab w:val="left" w:pos="88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рограмма профилактики риско</w:t>
            </w:r>
            <w:r>
              <w:rPr>
                <w:sz w:val="28"/>
                <w:szCs w:val="28"/>
              </w:rPr>
              <w:t xml:space="preserve">в причинения вреда (ущерба) охраняемым законом ценностям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при осуществлении </w:t>
            </w:r>
            <w:r>
              <w:rPr>
                <w:sz w:val="28"/>
                <w:szCs w:val="28"/>
              </w:rPr>
              <w:t xml:space="preserve">администрацией городского округа Котельники Московской области</w:t>
            </w:r>
            <w:r>
              <w:rPr>
                <w:sz w:val="28"/>
                <w:szCs w:val="28"/>
              </w:rPr>
              <w:t xml:space="preserve"> контроля (надзора) </w:t>
            </w:r>
            <w:r>
              <w:rPr>
                <w:sz w:val="28"/>
                <w:szCs w:val="28"/>
              </w:rPr>
              <w:t xml:space="preserve">на</w:t>
            </w:r>
            <w:r>
              <w:rPr>
                <w:sz w:val="28"/>
                <w:szCs w:val="28"/>
              </w:rPr>
              <w:t xml:space="preserve"> автомобильно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, городско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 наземно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 электрическо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в дорожном хоз</w:t>
            </w:r>
            <w:r>
              <w:rPr>
                <w:sz w:val="28"/>
                <w:szCs w:val="28"/>
              </w:rPr>
              <w:t xml:space="preserve">яйстве на территории Московской области </w:t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2022-2024 год</w:t>
            </w:r>
            <w:r>
              <w:rPr>
                <w:sz w:val="28"/>
                <w:szCs w:val="28"/>
              </w:rPr>
              <w:t xml:space="preserve">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программа профилактики)</w:t>
            </w:r>
            <w:r/>
          </w:p>
        </w:tc>
      </w:tr>
      <w:tr>
        <w:trPr>
          <w:trHeight w:val="1657"/>
        </w:trPr>
        <w:tc>
          <w:tcPr>
            <w:tcW w:w="3353" w:type="dxa"/>
            <w:vAlign w:val="top"/>
            <w:textDirection w:val="lrTb"/>
            <w:noWrap w:val="false"/>
          </w:tcPr>
          <w:p>
            <w:pPr>
              <w:pStyle w:val="392"/>
              <w:ind w:right="847"/>
              <w:jc w:val="both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снования 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азработки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рограммы профилактики</w:t>
            </w:r>
            <w:r/>
          </w:p>
        </w:tc>
        <w:tc>
          <w:tcPr>
            <w:tcW w:w="6815" w:type="dxa"/>
            <w:vAlign w:val="top"/>
            <w:textDirection w:val="lrTb"/>
            <w:noWrap w:val="false"/>
          </w:tcPr>
          <w:p>
            <w:pPr>
              <w:pStyle w:val="392"/>
              <w:ind w:left="110" w:right="85"/>
              <w:jc w:val="both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31.07.2020 № 248-ФЗ </w:t>
              <w:br/>
              <w:t xml:space="preserve">«О государственном контроле (надзоре)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муниципальном контроле в Росс</w:t>
            </w:r>
            <w:r>
              <w:rPr>
                <w:sz w:val="28"/>
                <w:szCs w:val="28"/>
              </w:rPr>
              <w:t xml:space="preserve">ийской Федерации»</w:t>
            </w:r>
            <w:r>
              <w:rPr>
                <w:sz w:val="28"/>
                <w:szCs w:val="28"/>
              </w:rPr>
              <w:t xml:space="preserve"> (далее –</w:t>
            </w:r>
            <w:r>
              <w:rPr>
                <w:sz w:val="28"/>
                <w:szCs w:val="28"/>
              </w:rPr>
              <w:t xml:space="preserve">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</w:t>
            </w:r>
            <w:r>
              <w:rPr>
                <w:sz w:val="28"/>
                <w:szCs w:val="28"/>
              </w:rPr>
              <w:t xml:space="preserve">ущерба) охраняемым законом ценностям».</w:t>
            </w:r>
            <w:r/>
          </w:p>
        </w:tc>
      </w:tr>
      <w:tr>
        <w:trPr>
          <w:trHeight w:val="275"/>
        </w:trPr>
        <w:tc>
          <w:tcPr>
            <w:tcW w:w="3353" w:type="dxa"/>
            <w:vAlign w:val="top"/>
            <w:textDirection w:val="lrTb"/>
            <w:noWrap w:val="false"/>
          </w:tcPr>
          <w:p>
            <w:pPr>
              <w:pStyle w:val="392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профилактики</w:t>
            </w:r>
            <w:r/>
          </w:p>
        </w:tc>
        <w:tc>
          <w:tcPr>
            <w:tcW w:w="6815" w:type="dxa"/>
            <w:vAlign w:val="top"/>
            <w:textDirection w:val="lrTb"/>
            <w:noWrap w:val="false"/>
          </w:tcPr>
          <w:p>
            <w:pPr>
              <w:pStyle w:val="392"/>
              <w:ind w:left="110"/>
              <w:jc w:val="both"/>
              <w:spacing w:lineRule="auto" w:line="276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Котельники Московской области </w:t>
            </w:r>
            <w:r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i/>
                <w:color w:val="0070C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контрольный (надзорный) орган)</w:t>
            </w:r>
            <w:r>
              <w:rPr>
                <w:i/>
                <w:sz w:val="28"/>
                <w:szCs w:val="28"/>
              </w:rPr>
            </w:r>
            <w:r/>
          </w:p>
        </w:tc>
      </w:tr>
      <w:tr>
        <w:trPr>
          <w:trHeight w:val="2251"/>
        </w:trPr>
        <w:tc>
          <w:tcPr>
            <w:tcW w:w="3353" w:type="dxa"/>
            <w:vAlign w:val="top"/>
            <w:textDirection w:val="lrTb"/>
            <w:noWrap w:val="false"/>
          </w:tcPr>
          <w:p>
            <w:pPr>
              <w:pStyle w:val="392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профилактики</w:t>
            </w:r>
            <w:r/>
          </w:p>
        </w:tc>
        <w:tc>
          <w:tcPr>
            <w:tcW w:w="6815" w:type="dxa"/>
            <w:vAlign w:val="top"/>
            <w:textDirection w:val="lrTb"/>
            <w:noWrap w:val="false"/>
          </w:tcPr>
          <w:p>
            <w:pPr>
              <w:pStyle w:val="389"/>
              <w:jc w:val="both"/>
              <w:spacing w:lineRule="auto" w:line="276"/>
            </w:pPr>
            <w:r>
              <w:t xml:space="preserve">1. С</w:t>
            </w:r>
            <w:r>
              <w:t xml:space="preserve">тимулирование добросовестного соблюдения обязательных требо</w:t>
            </w:r>
            <w:r>
              <w:t xml:space="preserve">ваний всеми контролируемыми лицами;</w:t>
            </w:r>
            <w:r/>
          </w:p>
          <w:p>
            <w:pPr>
              <w:pStyle w:val="389"/>
              <w:jc w:val="both"/>
              <w:spacing w:lineRule="auto" w:line="276"/>
            </w:pPr>
            <w:r>
              <w:t xml:space="preserve">2.  У</w:t>
            </w:r>
            <w:r>
              <w:t xml:space="preserve">странение условий, причин и факторов, способных привести к нарушениям обязательных требований </w:t>
            </w:r>
            <w:r>
              <w:br/>
            </w:r>
            <w:r>
              <w:t xml:space="preserve">и (или) причинению вреда (ущерба) охраняемым законом ценностям;</w:t>
            </w:r>
            <w:r/>
          </w:p>
          <w:p>
            <w:pPr>
              <w:pStyle w:val="389"/>
              <w:jc w:val="both"/>
              <w:spacing w:lineRule="auto" w:line="276"/>
            </w:pPr>
            <w:r>
              <w:t xml:space="preserve">3. С</w:t>
            </w:r>
            <w:r>
              <w:t xml:space="preserve">оздание условий для доведения обязательных требовани</w:t>
            </w:r>
            <w:r>
              <w:t xml:space="preserve">й до контролируемых лиц, повышение информированности о способах их соблюдения.</w:t>
            </w:r>
            <w:r/>
          </w:p>
          <w:p>
            <w:pPr>
              <w:pStyle w:val="392"/>
              <w:ind w:right="76"/>
              <w:jc w:val="both"/>
              <w:spacing w:lineRule="auto" w:line="276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47"/>
        </w:trPr>
        <w:tc>
          <w:tcPr>
            <w:tcW w:w="3353" w:type="dxa"/>
            <w:vAlign w:val="top"/>
            <w:textDirection w:val="lrTb"/>
            <w:noWrap w:val="false"/>
          </w:tcPr>
          <w:p>
            <w:pPr>
              <w:pStyle w:val="392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профилактики</w:t>
            </w:r>
            <w:r/>
          </w:p>
        </w:tc>
        <w:tc>
          <w:tcPr>
            <w:tcW w:w="6815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after="0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1 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азъяснение контролируемым лицам обязательных требований;</w:t>
            </w:r>
            <w:r/>
          </w:p>
          <w:p>
            <w:pPr>
              <w:pStyle w:val="383"/>
              <w:jc w:val="both"/>
              <w:spacing w:after="0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2. 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ыявление причин, факторов и условий, способствующих причинению вреда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(ущерба)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охр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аняемым законом ценностям и нарушению обязательных требований, определение способов устранения или снижения рисков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их возникновения;</w:t>
            </w:r>
            <w:r/>
          </w:p>
          <w:p>
            <w:pPr>
              <w:pStyle w:val="383"/>
              <w:jc w:val="both"/>
              <w:spacing w:after="0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3. 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ринятие мер к обеспечению реального влияния на уровень безопасности охраняемых законом ценностей комплекса обязательн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ых требований, соблюдение которых составляет предмет контроля;</w:t>
            </w:r>
            <w:r/>
          </w:p>
          <w:p>
            <w:pPr>
              <w:pStyle w:val="383"/>
              <w:jc w:val="both"/>
              <w:spacing w:after="0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4. У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становление и оценка зависимости видов, форм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и интенсивности профилактических мероприятий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от особенностей контролируемого лица, проведение профилактических мероприятий с учетом данных фак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торов;</w:t>
            </w:r>
            <w:r/>
          </w:p>
          <w:p>
            <w:pPr>
              <w:pStyle w:val="383"/>
              <w:jc w:val="both"/>
              <w:spacing w:after="0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5. 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      </w:r>
            <w:r/>
          </w:p>
          <w:p>
            <w:pPr>
              <w:pStyle w:val="383"/>
              <w:jc w:val="both"/>
              <w:spacing w:after="0"/>
              <w:shd w:val="clear" w:color="auto" w:fill="FFFFFF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6.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 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оздание системы консультирования контролируемых лиц, в том числе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с использованием современных ин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формационно-телекоммуникационных технологий;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овышение уровня правовой грамотности контролируемых лиц, в том числе путем обеспечения доступности информации об обязательных требованиях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и необходимых мерах по их исполнению.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38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353" w:type="dxa"/>
            <w:vAlign w:val="top"/>
            <w:textDirection w:val="lrTb"/>
            <w:noWrap w:val="false"/>
          </w:tcPr>
          <w:p>
            <w:pPr>
              <w:pStyle w:val="392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</w:t>
            </w:r>
            <w:r>
              <w:rPr>
                <w:sz w:val="28"/>
                <w:szCs w:val="28"/>
              </w:rPr>
              <w:t xml:space="preserve">аммы профилактики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815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I этап – 2022 год 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II этап – 2023-2024 годы</w:t>
            </w:r>
            <w:r/>
          </w:p>
        </w:tc>
      </w:tr>
      <w:tr>
        <w:trPr>
          <w:trHeight w:val="943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353" w:type="dxa"/>
            <w:vAlign w:val="top"/>
            <w:textDirection w:val="lrTb"/>
            <w:noWrap w:val="false"/>
          </w:tcPr>
          <w:p>
            <w:pPr>
              <w:pStyle w:val="392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815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 рамках текущего финансирования деятельности контрольного (надзорного) органа</w:t>
            </w:r>
            <w:r/>
          </w:p>
        </w:tc>
      </w:tr>
      <w:tr>
        <w:trPr>
          <w:trHeight w:val="138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353" w:type="dxa"/>
            <w:vAlign w:val="top"/>
            <w:textDirection w:val="lrTb"/>
            <w:noWrap w:val="false"/>
          </w:tcPr>
          <w:p>
            <w:pPr>
              <w:pStyle w:val="392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профилактики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815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1. 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Снижение рисков причи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нения вреда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(ущерба)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охраняемым законом ценностям;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контрольного (надзорного)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органа, осуществляющего муниципальный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контроль (надзор)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 авто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мобильном транспорте, городском наземном электрическом транспорте и в дорожном хозяйстве на территории Московской области </w:t>
              <w:br/>
              <w:t xml:space="preserve">(далее –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муниципальный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контроль (надзор)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3. Внедрение различных способов профилактики;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4. 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Разработка и внедрение технологий профилак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тической работы внутри контрольного (надзорного) органа;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5. 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Разработка образцов эффективного, законопослушного поведения контролируемых лиц;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6. Обеспечение квалифицированной профилактической работы должностных лиц контрольного (надзорного) органа;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7. Повыш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ение прозрачности деятельности контрольного (надзорного) органа;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8. 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Уменьшение административной нагрузки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 контролируемых лиц;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9. 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10. 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Обеспечение единообразия понимания предмета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онтроля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(надзора)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контролируемыми лицами;</w:t>
            </w:r>
            <w:r/>
          </w:p>
          <w:p>
            <w:pPr>
              <w:pStyle w:val="383"/>
              <w:jc w:val="both"/>
              <w:spacing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11. Мотивация контролируемых лиц к добросовестному поведению.</w:t>
            </w:r>
            <w:r/>
          </w:p>
        </w:tc>
      </w:tr>
    </w:tbl>
    <w:p>
      <w:pPr>
        <w:pStyle w:val="385"/>
        <w:ind w:left="0" w:firstLine="567"/>
        <w:jc w:val="center"/>
        <w:spacing w:lineRule="exact" w:line="295"/>
        <w:rPr>
          <w:b w:val="false"/>
          <w:bCs w:val="false"/>
          <w:sz w:val="28"/>
          <w:lang w:val="ru-RU"/>
        </w:rPr>
      </w:pPr>
      <w:r>
        <w:rPr>
          <w:b w:val="false"/>
          <w:bCs w:val="false"/>
          <w:sz w:val="28"/>
          <w:lang w:val="ru-RU"/>
        </w:rPr>
      </w:r>
      <w:r/>
    </w:p>
    <w:p>
      <w:pPr>
        <w:pStyle w:val="385"/>
        <w:ind w:left="0" w:firstLine="567"/>
        <w:jc w:val="center"/>
        <w:spacing w:lineRule="exact" w:line="295"/>
        <w:rPr>
          <w:b w:val="false"/>
          <w:bCs w:val="false"/>
          <w:sz w:val="28"/>
          <w:lang w:val="ru-RU"/>
        </w:rPr>
      </w:pPr>
      <w:r>
        <w:rPr>
          <w:b w:val="false"/>
          <w:bCs w:val="false"/>
          <w:sz w:val="28"/>
          <w:lang w:val="ru-RU"/>
        </w:rPr>
      </w:r>
      <w:r/>
    </w:p>
    <w:p>
      <w:pPr>
        <w:pStyle w:val="385"/>
        <w:ind w:left="0" w:firstLine="567"/>
        <w:jc w:val="center"/>
        <w:spacing w:lineRule="exact" w:line="295"/>
        <w:rPr>
          <w:b w:val="false"/>
          <w:bCs w:val="false"/>
          <w:sz w:val="28"/>
          <w:lang w:val="ru-RU"/>
        </w:rPr>
      </w:pPr>
      <w:r>
        <w:rPr>
          <w:b w:val="false"/>
          <w:bCs w:val="false"/>
          <w:sz w:val="28"/>
          <w:lang w:val="ru-RU"/>
        </w:rPr>
      </w:r>
      <w:r/>
    </w:p>
    <w:p>
      <w:pPr>
        <w:pStyle w:val="385"/>
        <w:ind w:left="0" w:firstLine="567"/>
        <w:jc w:val="center"/>
        <w:spacing w:lineRule="auto" w:line="276"/>
        <w:rPr>
          <w:b w:val="false"/>
          <w:bCs w:val="false"/>
          <w:sz w:val="28"/>
        </w:rPr>
      </w:pPr>
      <w:r>
        <w:rPr>
          <w:b w:val="false"/>
          <w:bCs w:val="false"/>
          <w:sz w:val="28"/>
        </w:rPr>
        <w:t xml:space="preserve">Раздел </w:t>
      </w:r>
      <w:r>
        <w:rPr>
          <w:b w:val="false"/>
          <w:bCs w:val="false"/>
          <w:sz w:val="28"/>
          <w:lang w:val="en-US"/>
        </w:rPr>
        <w:t xml:space="preserve">I</w:t>
      </w:r>
      <w:r>
        <w:rPr>
          <w:b w:val="false"/>
          <w:bCs w:val="false"/>
          <w:sz w:val="28"/>
        </w:rPr>
        <w:t xml:space="preserve">. Анализ текущего состояния осуществления </w:t>
      </w:r>
      <w:r>
        <w:rPr>
          <w:b w:val="false"/>
          <w:bCs w:val="false"/>
          <w:sz w:val="28"/>
          <w:lang w:val="ru-RU"/>
        </w:rPr>
        <w:t xml:space="preserve">государственного</w:t>
      </w:r>
      <w:r>
        <w:rPr>
          <w:b w:val="false"/>
          <w:bCs w:val="false"/>
          <w:sz w:val="28"/>
        </w:rPr>
        <w:t xml:space="preserve"> контроля</w:t>
      </w:r>
      <w:r>
        <w:rPr>
          <w:b w:val="false"/>
          <w:bCs w:val="false"/>
          <w:sz w:val="28"/>
          <w:lang w:val="ru-RU"/>
        </w:rPr>
        <w:t xml:space="preserve"> (надзора)</w:t>
      </w:r>
      <w:r>
        <w:rPr>
          <w:b w:val="false"/>
          <w:bCs w:val="false"/>
          <w:sz w:val="28"/>
        </w:rPr>
        <w:t xml:space="preserve">, описание текущего развития профилактической деятельности конт</w:t>
      </w:r>
      <w:r>
        <w:rPr>
          <w:b w:val="false"/>
          <w:bCs w:val="false"/>
          <w:sz w:val="28"/>
        </w:rPr>
        <w:t xml:space="preserve">рольного (надзорного) органа, характеристика проблем, на решение которых направлена программа профилактики</w:t>
      </w:r>
      <w:r/>
    </w:p>
    <w:p>
      <w:pPr>
        <w:pStyle w:val="391"/>
        <w:ind w:left="108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</w:r>
      <w:r/>
    </w:p>
    <w:p>
      <w:pPr>
        <w:pStyle w:val="389"/>
        <w:ind w:firstLine="709"/>
        <w:jc w:val="both"/>
        <w:spacing w:lineRule="auto" w:line="276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1. </w:t>
      </w:r>
      <w:r>
        <w:rPr>
          <w:szCs w:val="28"/>
          <w:lang w:eastAsia="en-US"/>
        </w:rPr>
        <w:t xml:space="preserve">Контролируемыми лицами</w:t>
      </w:r>
      <w:r>
        <w:rPr>
          <w:szCs w:val="28"/>
          <w:lang w:eastAsia="en-US"/>
        </w:rPr>
        <w:t xml:space="preserve">, в отношении которых осуществляется</w:t>
      </w:r>
      <w:r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муниципальный</w:t>
      </w:r>
      <w:r>
        <w:rPr>
          <w:szCs w:val="28"/>
          <w:lang w:val="en-US" w:eastAsia="en-US"/>
        </w:rPr>
        <w:t xml:space="preserve"> </w:t>
      </w:r>
      <w:r>
        <w:rPr>
          <w:szCs w:val="28"/>
          <w:lang w:eastAsia="en-US"/>
        </w:rPr>
        <w:t xml:space="preserve">контрол</w:t>
      </w:r>
      <w:r>
        <w:rPr>
          <w:szCs w:val="28"/>
          <w:lang w:eastAsia="en-US"/>
        </w:rPr>
        <w:t xml:space="preserve">ь</w:t>
      </w:r>
      <w:r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(</w:t>
      </w:r>
      <w:r>
        <w:rPr>
          <w:szCs w:val="28"/>
        </w:rPr>
        <w:t xml:space="preserve">надзор)</w:t>
      </w:r>
      <w:r>
        <w:rPr>
          <w:szCs w:val="28"/>
          <w:lang w:val="en-US" w:eastAsia="en-US"/>
        </w:rPr>
        <w:t xml:space="preserve"> </w:t>
      </w:r>
      <w:r>
        <w:rPr>
          <w:szCs w:val="28"/>
          <w:lang w:eastAsia="en-US"/>
        </w:rPr>
        <w:t xml:space="preserve">на территории Московской области</w:t>
      </w:r>
      <w:r>
        <w:rPr>
          <w:szCs w:val="28"/>
          <w:lang w:eastAsia="en-US"/>
        </w:rPr>
        <w:t xml:space="preserve">,</w:t>
      </w:r>
      <w:r>
        <w:rPr>
          <w:szCs w:val="28"/>
          <w:lang w:eastAsia="en-US"/>
        </w:rPr>
        <w:t xml:space="preserve"> </w:t>
      </w:r>
      <w:r>
        <w:rPr>
          <w:szCs w:val="28"/>
          <w:lang w:val="en-US" w:eastAsia="en-US"/>
        </w:rPr>
        <w:t xml:space="preserve">являются</w:t>
      </w:r>
      <w:r>
        <w:rPr>
          <w:szCs w:val="28"/>
          <w:lang w:eastAsia="en-US"/>
        </w:rPr>
        <w:t xml:space="preserve">:</w:t>
      </w:r>
      <w:r>
        <w:rPr>
          <w:szCs w:val="28"/>
          <w:lang w:eastAsia="en-US"/>
        </w:rPr>
        <w:t xml:space="preserve"> </w:t>
      </w:r>
      <w:r>
        <w:rPr>
          <w:szCs w:val="28"/>
        </w:rPr>
        <w:t xml:space="preserve">организ</w:t>
      </w:r>
      <w:r>
        <w:rPr>
          <w:szCs w:val="28"/>
        </w:rPr>
        <w:t xml:space="preserve">аци</w:t>
      </w:r>
      <w:r>
        <w:rPr>
          <w:szCs w:val="28"/>
        </w:rPr>
        <w:t xml:space="preserve">и</w:t>
      </w:r>
      <w:r>
        <w:rPr>
          <w:szCs w:val="28"/>
        </w:rPr>
        <w:t xml:space="preserve">, руководител</w:t>
      </w:r>
      <w:r>
        <w:rPr>
          <w:szCs w:val="28"/>
        </w:rPr>
        <w:t xml:space="preserve">и</w:t>
      </w:r>
      <w:r>
        <w:rPr>
          <w:szCs w:val="28"/>
        </w:rPr>
        <w:t xml:space="preserve"> и ины</w:t>
      </w:r>
      <w:r>
        <w:rPr>
          <w:szCs w:val="28"/>
        </w:rPr>
        <w:t xml:space="preserve">е</w:t>
      </w:r>
      <w:r>
        <w:rPr>
          <w:szCs w:val="28"/>
        </w:rPr>
        <w:t xml:space="preserve"> должностны</w:t>
      </w:r>
      <w:r>
        <w:rPr>
          <w:szCs w:val="28"/>
        </w:rPr>
        <w:t xml:space="preserve">е</w:t>
      </w:r>
      <w:r>
        <w:rPr>
          <w:szCs w:val="28"/>
        </w:rPr>
        <w:t xml:space="preserve"> лиц</w:t>
      </w:r>
      <w:r>
        <w:rPr>
          <w:szCs w:val="28"/>
        </w:rPr>
        <w:t xml:space="preserve">а</w:t>
      </w:r>
      <w:r>
        <w:rPr>
          <w:szCs w:val="28"/>
        </w:rPr>
        <w:t xml:space="preserve"> организаций, индивидуальны</w:t>
      </w:r>
      <w:r>
        <w:rPr>
          <w:szCs w:val="28"/>
        </w:rPr>
        <w:t xml:space="preserve">е</w:t>
      </w:r>
      <w:r>
        <w:rPr>
          <w:szCs w:val="28"/>
        </w:rPr>
        <w:t xml:space="preserve"> предпринимател</w:t>
      </w:r>
      <w:r>
        <w:rPr>
          <w:szCs w:val="28"/>
        </w:rPr>
        <w:t xml:space="preserve">и</w:t>
      </w:r>
      <w:r>
        <w:rPr>
          <w:szCs w:val="28"/>
        </w:rPr>
        <w:t xml:space="preserve">, их уполномоченны</w:t>
      </w:r>
      <w:r>
        <w:rPr>
          <w:szCs w:val="28"/>
        </w:rPr>
        <w:t xml:space="preserve">е</w:t>
      </w:r>
      <w:r>
        <w:rPr>
          <w:szCs w:val="28"/>
        </w:rPr>
        <w:t xml:space="preserve"> представител</w:t>
      </w:r>
      <w:r>
        <w:rPr>
          <w:szCs w:val="28"/>
        </w:rPr>
        <w:t xml:space="preserve">и</w:t>
      </w:r>
      <w:r>
        <w:rPr>
          <w:szCs w:val="28"/>
        </w:rPr>
        <w:t xml:space="preserve">, физически</w:t>
      </w:r>
      <w:r>
        <w:rPr>
          <w:szCs w:val="28"/>
        </w:rPr>
        <w:t xml:space="preserve">е</w:t>
      </w:r>
      <w:r>
        <w:rPr>
          <w:szCs w:val="28"/>
        </w:rPr>
        <w:t xml:space="preserve"> лиц</w:t>
      </w:r>
      <w:r>
        <w:rPr>
          <w:szCs w:val="28"/>
        </w:rPr>
        <w:t xml:space="preserve">а</w:t>
      </w:r>
      <w:r>
        <w:rPr>
          <w:szCs w:val="28"/>
        </w:rPr>
        <w:t xml:space="preserve">, не являющи</w:t>
      </w:r>
      <w:r>
        <w:rPr>
          <w:szCs w:val="28"/>
        </w:rPr>
        <w:t xml:space="preserve">еся</w:t>
      </w:r>
      <w:r>
        <w:rPr>
          <w:szCs w:val="28"/>
        </w:rPr>
        <w:t xml:space="preserve"> индивидуальными предпринимателями</w:t>
      </w:r>
      <w:r>
        <w:rPr>
          <w:szCs w:val="28"/>
          <w:lang w:val="en-US" w:eastAsia="en-US"/>
        </w:rPr>
        <w:t xml:space="preserve">.</w:t>
      </w:r>
      <w:r/>
    </w:p>
    <w:p>
      <w:pPr>
        <w:pStyle w:val="389"/>
        <w:ind w:left="567" w:firstLine="142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. Объектами государственного контроля (надзора) являются: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1) в рамка</w:t>
      </w:r>
      <w:r>
        <w:rPr>
          <w:szCs w:val="28"/>
        </w:rPr>
        <w:t xml:space="preserve">х пункта 1 части 1 статьи 16 Федерального закона </w:t>
        <w:br/>
        <w:t xml:space="preserve"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деятельность, действия (бездействие) контролируемых лиц в </w:t>
      </w:r>
      <w:r>
        <w:rPr>
          <w:szCs w:val="28"/>
        </w:rPr>
        <w:t xml:space="preserve">рамках которых должны соблюдаться обязательные требования к осуществлению работ </w:t>
        <w:br/>
        <w:t xml:space="preserve">по капитальному ремонту, ремонту и содержанию автомобильных дорог общего пользования муниципального </w:t>
      </w:r>
      <w:r>
        <w:rPr>
          <w:szCs w:val="28"/>
        </w:rPr>
        <w:t xml:space="preserve">значения Московской области </w:t>
        <w:br/>
        <w:t xml:space="preserve">и искусственных дорожных сооружений на них в</w:t>
      </w:r>
      <w:r>
        <w:rPr>
          <w:szCs w:val="28"/>
        </w:rPr>
        <w:t xml:space="preserve"> части обеспечения сохранности автомобильных дорог;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</w:t>
      </w:r>
      <w:r>
        <w:rPr>
          <w:szCs w:val="28"/>
        </w:rPr>
        <w:t xml:space="preserve">жных полосах автомобильных дорог общего пользования муниципального </w:t>
      </w:r>
      <w:r>
        <w:rPr>
          <w:szCs w:val="28"/>
        </w:rPr>
        <w:t xml:space="preserve">значения Московской области;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</w:t>
      </w:r>
      <w:r>
        <w:rPr>
          <w:szCs w:val="28"/>
        </w:rPr>
        <w:t xml:space="preserve"> по муниципальным</w:t>
      </w:r>
      <w:r>
        <w:rPr>
          <w:szCs w:val="28"/>
        </w:rPr>
        <w:t xml:space="preserve"> маршрутам регулярных перевозок в границах территории Московской области, </w:t>
        <w:br/>
        <w:t xml:space="preserve">не относящиеся к предмету федерального государственного контроля (надзора) </w:t>
        <w:br/>
        <w:t xml:space="preserve">на автомобильном транспорте, городском наземном электрическом тра</w:t>
      </w:r>
      <w:r>
        <w:rPr>
          <w:szCs w:val="28"/>
        </w:rPr>
        <w:t xml:space="preserve">нспорте </w:t>
        <w:br/>
        <w:t xml:space="preserve">и в дорожном хозяйстве в области организации регулярных перевозок;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2) в рамках пункта 2 части 1 статьи 16 Федерального закона № 248-ФЗ: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дорожно-строительные материалы, указанные в приложении № 1 </w:t>
      </w:r>
      <w:r>
        <w:rPr>
          <w:szCs w:val="28"/>
        </w:rPr>
        <w:br/>
      </w:r>
      <w:r>
        <w:rPr>
          <w:szCs w:val="28"/>
        </w:rPr>
        <w:t xml:space="preserve">к техническому регламенту Таможенного союза «Безопа</w:t>
      </w:r>
      <w:r>
        <w:rPr>
          <w:szCs w:val="28"/>
        </w:rPr>
        <w:t xml:space="preserve">сность автомобильных дорог» (ТР ТС 014/2011);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дорожно-строительные изделия, указанные в приложении № 2 к техническому регламенту Таможенного союза «Безопасность автомобильных дорог» </w:t>
      </w:r>
      <w:r>
        <w:rPr>
          <w:szCs w:val="28"/>
        </w:rPr>
        <w:br/>
      </w:r>
      <w:r>
        <w:rPr>
          <w:szCs w:val="28"/>
        </w:rPr>
        <w:t xml:space="preserve">(ТР ТС 014/2011);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3) в рамках пункта 3 части 1 статьи 16 Федерального зак</w:t>
      </w:r>
      <w:r>
        <w:rPr>
          <w:szCs w:val="28"/>
        </w:rPr>
        <w:t xml:space="preserve">она № 248-ФЗ: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автомобильная дорога муниципального </w:t>
      </w:r>
      <w:r>
        <w:rPr>
          <w:szCs w:val="28"/>
        </w:rPr>
        <w:t xml:space="preserve">значения Московской области и искусственные дорожные сооружения на ней;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объекты дорожного сервиса, размещенные в полосах отвода и (или) придорожных полосах автомобильных дорог общего пол</w:t>
      </w:r>
      <w:r>
        <w:rPr>
          <w:szCs w:val="28"/>
        </w:rPr>
        <w:t xml:space="preserve">ьзования </w:t>
      </w:r>
      <w:r>
        <w:rPr>
          <w:szCs w:val="28"/>
        </w:rPr>
        <w:t xml:space="preserve">муниципального </w:t>
      </w:r>
      <w:r>
        <w:rPr>
          <w:szCs w:val="28"/>
        </w:rPr>
        <w:t xml:space="preserve">значения Московской области;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примыкания к автомобильным дорогам </w:t>
      </w:r>
      <w:r>
        <w:rPr>
          <w:szCs w:val="28"/>
        </w:rPr>
        <w:t xml:space="preserve">муниципального </w:t>
      </w:r>
      <w:r>
        <w:rPr>
          <w:szCs w:val="28"/>
        </w:rPr>
        <w:t xml:space="preserve">значения Московской области, в том числе примыкания к объектам дорожного сервиса;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придорожные полосы и полосы отвода автомоб</w:t>
      </w:r>
      <w:r>
        <w:rPr>
          <w:szCs w:val="28"/>
        </w:rPr>
        <w:t xml:space="preserve">ильных дорог </w:t>
      </w:r>
      <w:r>
        <w:rPr>
          <w:szCs w:val="28"/>
        </w:rPr>
        <w:t xml:space="preserve">муниципального</w:t>
      </w:r>
      <w:r>
        <w:rPr>
          <w:szCs w:val="28"/>
        </w:rPr>
        <w:t xml:space="preserve"> значения Московской области;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транспортное средство, используемое контролируемыми лицами </w:t>
      </w:r>
      <w:r>
        <w:rPr>
          <w:szCs w:val="28"/>
        </w:rPr>
        <w:br/>
      </w:r>
      <w:r>
        <w:rPr>
          <w:szCs w:val="28"/>
        </w:rPr>
        <w:t xml:space="preserve">для осуществления перевозок по муниципальным</w:t>
      </w:r>
      <w:r>
        <w:rPr>
          <w:szCs w:val="28"/>
        </w:rPr>
        <w:t xml:space="preserve"> маршрутам регулярных перевозок</w:t>
      </w:r>
      <w:r>
        <w:t xml:space="preserve"> </w:t>
      </w:r>
      <w:r>
        <w:rPr>
          <w:szCs w:val="28"/>
        </w:rPr>
        <w:t xml:space="preserve">на территории Московской об</w:t>
      </w:r>
      <w:r>
        <w:rPr>
          <w:szCs w:val="28"/>
        </w:rPr>
        <w:t xml:space="preserve">ласти.</w:t>
      </w:r>
      <w:r>
        <w:rPr>
          <w:szCs w:val="28"/>
        </w:rPr>
      </w:r>
      <w:r/>
    </w:p>
    <w:p>
      <w:pPr>
        <w:pStyle w:val="389"/>
        <w:ind w:firstLine="709"/>
        <w:jc w:val="both"/>
        <w:spacing w:lineRule="auto" w:line="276"/>
        <w:tabs>
          <w:tab w:val="left" w:pos="709" w:leader="none"/>
        </w:tabs>
        <w:rPr>
          <w:szCs w:val="28"/>
          <w:lang w:eastAsia="en-US"/>
        </w:rPr>
      </w:pPr>
      <w:r>
        <w:rPr>
          <w:szCs w:val="28"/>
          <w:lang w:val="en-US" w:eastAsia="en-US"/>
        </w:rPr>
        <w:t xml:space="preserve">В </w:t>
      </w:r>
      <w:r>
        <w:rPr>
          <w:szCs w:val="28"/>
          <w:lang w:eastAsia="en-US"/>
        </w:rPr>
        <w:t xml:space="preserve">среднем в год контролируемыми лицами совершается 50 </w:t>
      </w:r>
      <w:r>
        <w:rPr>
          <w:szCs w:val="28"/>
          <w:lang w:eastAsia="en-US"/>
        </w:rPr>
        <w:t xml:space="preserve">нарушений законодательства</w:t>
      </w:r>
      <w:r>
        <w:rPr>
          <w:szCs w:val="28"/>
          <w:lang w:val="en-US" w:eastAsia="en-US"/>
        </w:rPr>
        <w:t xml:space="preserve">.</w:t>
      </w:r>
      <w:r>
        <w:rPr>
          <w:szCs w:val="28"/>
          <w:lang w:eastAsia="en-US"/>
        </w:rPr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направлена на 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повышение эффективности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контролируе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мых лиц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en-US"/>
        </w:rPr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sz w:val="28"/>
          <w:szCs w:val="28"/>
          <w:lang w:val="en-US" w:eastAsia="en-US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Наиболее значимыми рисками в деятельности 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контролируемых лиц</w:t>
      </w:r>
      <w:r>
        <w:rPr>
          <w:rFonts w:ascii="Times New Roman" w:hAnsi="Times New Roman" w:eastAsia="Times New Roman"/>
          <w:strike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являются:</w:t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отсутствие письменного согласия владельца автомобильной дороги </w:t>
        <w:br/>
        <w:t xml:space="preserve">на присоединение объекта дорожного сервиса к автомобильной дороге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en-US"/>
        </w:rPr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iCs/>
          <w:sz w:val="28"/>
          <w:szCs w:val="28"/>
          <w:lang w:val="en-US" w:eastAsia="en-US"/>
        </w:rPr>
      </w:pPr>
      <w:r>
        <w:rPr>
          <w:rFonts w:ascii="Times New Roman" w:hAnsi="Times New Roman" w:eastAsia="Times New Roman"/>
          <w:iCs/>
          <w:sz w:val="28"/>
          <w:szCs w:val="28"/>
          <w:lang w:eastAsia="en-US"/>
        </w:rPr>
        <w:t xml:space="preserve">2)</w:t>
      </w:r>
      <w:r>
        <w:rPr>
          <w:rFonts w:ascii="Times New Roman" w:hAnsi="Times New Roman" w:eastAsia="Times New Roman"/>
          <w:iCs/>
          <w:sz w:val="28"/>
          <w:szCs w:val="28"/>
          <w:lang w:eastAsia="en-US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неудовлетворительное состояние дорож</w:t>
      </w:r>
      <w:r>
        <w:rPr>
          <w:rFonts w:ascii="Times New Roman" w:hAnsi="Times New Roman"/>
          <w:sz w:val="28"/>
          <w:szCs w:val="28"/>
        </w:rPr>
        <w:t xml:space="preserve">ного покрытия (проломы, просадки, выбоины)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iCs/>
          <w:sz w:val="28"/>
          <w:szCs w:val="28"/>
          <w:lang w:val="en-US" w:eastAsia="en-US"/>
        </w:rPr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iCs/>
          <w:sz w:val="28"/>
          <w:szCs w:val="28"/>
          <w:lang w:eastAsia="en-US"/>
        </w:rPr>
      </w:pPr>
      <w:r>
        <w:rPr>
          <w:rFonts w:ascii="Times New Roman" w:hAnsi="Times New Roman" w:eastAsia="Times New Roman"/>
          <w:iCs/>
          <w:sz w:val="28"/>
          <w:szCs w:val="28"/>
          <w:lang w:eastAsia="en-US"/>
        </w:rPr>
        <w:t xml:space="preserve">3)</w:t>
      </w:r>
      <w:r>
        <w:rPr>
          <w:rFonts w:ascii="Times New Roman" w:hAnsi="Times New Roman" w:eastAsia="Times New Roman"/>
          <w:iCs/>
          <w:sz w:val="28"/>
          <w:szCs w:val="28"/>
          <w:lang w:eastAsia="en-US"/>
        </w:rPr>
        <w:t xml:space="preserve"> </w:t>
      </w:r>
      <w:r>
        <w:rPr>
          <w:rFonts w:ascii="Times New Roman" w:hAnsi="Times New Roman" w:eastAsia="Times New Roman"/>
          <w:iCs/>
          <w:sz w:val="28"/>
          <w:szCs w:val="28"/>
          <w:lang w:eastAsia="en-US"/>
        </w:rPr>
        <w:t xml:space="preserve">о</w:t>
      </w:r>
      <w:r>
        <w:rPr>
          <w:rFonts w:ascii="Times New Roman" w:hAnsi="Times New Roman" w:eastAsia="Times New Roman"/>
          <w:iCs/>
          <w:sz w:val="28"/>
          <w:szCs w:val="28"/>
          <w:lang w:eastAsia="en-US"/>
        </w:rPr>
        <w:t xml:space="preserve">тсутствие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возможности безналичной оплаты проезда, в том числе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использованием единой транспортной карты, банковской карты на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маршрутах регулярных перевозок автомобильным транспор</w:t>
      </w:r>
      <w:r>
        <w:rPr>
          <w:rFonts w:ascii="Times New Roman" w:hAnsi="Times New Roman"/>
          <w:sz w:val="28"/>
          <w:szCs w:val="28"/>
        </w:rPr>
        <w:t xml:space="preserve">том, если начальный остановочный пункт находится на территории Московской области, муниципальных маршрутах регулярных перевозок автомобильным транспортом,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маршрутах регулярных перевозок автомобильным транспортом</w:t>
      </w:r>
      <w:r>
        <w:rPr>
          <w:rFonts w:ascii="Times New Roman" w:hAnsi="Times New Roman" w:eastAsia="Times New Roman"/>
          <w:iCs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="Times New Roman"/>
          <w:iCs/>
          <w:sz w:val="28"/>
          <w:szCs w:val="28"/>
          <w:lang w:eastAsia="en-US"/>
        </w:rPr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Профилактических мероприятий по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 предотвращ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ени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ю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 рисков причинения вреда 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(ущерба)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охраняемым законом ценностям, предупреждени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 нарушений обязательных требований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2021 год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не осуществлялись. </w:t>
      </w:r>
      <w:r/>
    </w:p>
    <w:p>
      <w:pPr>
        <w:pStyle w:val="391"/>
        <w:ind w:left="0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1"/>
        <w:ind w:left="0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Цели и задачи реализации программы профилактики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Целями 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роведения профилактических мероприятий являются:</w:t>
      </w:r>
      <w:r/>
    </w:p>
    <w:p>
      <w:pPr>
        <w:pStyle w:val="389"/>
        <w:ind w:firstLine="709"/>
        <w:jc w:val="both"/>
        <w:spacing w:lineRule="auto" w:line="276"/>
      </w:pPr>
      <w:r>
        <w:t xml:space="preserve">1) с</w:t>
      </w:r>
      <w:r>
        <w:t xml:space="preserve">тимулирование добросовестного соблюдения обязательных требований всеми контролируемыми лицами;</w:t>
      </w:r>
      <w:r/>
    </w:p>
    <w:p>
      <w:pPr>
        <w:pStyle w:val="389"/>
        <w:ind w:firstLine="709"/>
        <w:jc w:val="both"/>
        <w:spacing w:lineRule="auto" w:line="276"/>
      </w:pPr>
      <w:r>
        <w:t xml:space="preserve">2) у</w:t>
      </w:r>
      <w:r>
        <w:t xml:space="preserve">странение условий, причин и факторов, способных привести </w:t>
      </w:r>
      <w:r>
        <w:br/>
      </w:r>
      <w:r>
        <w:t xml:space="preserve">к нарушениям обязательных требований и (или) п</w:t>
      </w:r>
      <w:r>
        <w:t xml:space="preserve">ричинению вреда (ущерба) охраняемым законом ценностям;</w:t>
      </w:r>
      <w:r/>
    </w:p>
    <w:p>
      <w:pPr>
        <w:pStyle w:val="389"/>
        <w:ind w:firstLine="709"/>
        <w:jc w:val="both"/>
        <w:spacing w:lineRule="auto" w:line="276"/>
      </w:pPr>
      <w:r>
        <w:t xml:space="preserve">3</w:t>
      </w:r>
      <w:r>
        <w:t xml:space="preserve">)</w:t>
      </w:r>
      <w:r>
        <w:t xml:space="preserve"> </w:t>
      </w:r>
      <w:r>
        <w:t xml:space="preserve">с</w:t>
      </w:r>
      <w:r>
        <w:t xml:space="preserve">оздание условий для доведения обязательных требований </w:t>
      </w:r>
      <w:r>
        <w:br/>
      </w:r>
      <w:r>
        <w:t xml:space="preserve">до контролируемых лиц, повышение информированности о способах </w:t>
      </w:r>
      <w:r>
        <w:br/>
      </w:r>
      <w:r>
        <w:t xml:space="preserve">их соблюдения.</w:t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15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Проведение контрольным (надзорным) органом профилактических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мероприятий направлено на решение следующих задач:</w:t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1) разъяснение контролируемым лицам обязательных требований;</w:t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2) выявление причин, факторов и условий, способствующих причинению вреда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(ущерба)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охраняемым законом ценностям и нарушению обязательных требован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ий, определение способов устранения или снижения рисков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их возникновения;</w:t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я;</w:t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5) повышение квалификации кадрового состава контрольног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 (надзорного) органа, принимающего участие в проведении контрольных (надзорных) мероприятий;</w:t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6) создание системы консультирования контролируемых лиц, в том числе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 использованием современных информационно-телекоммуникационных технологий;</w:t>
      </w:r>
      <w:r/>
    </w:p>
    <w:p>
      <w:pPr>
        <w:pStyle w:val="383"/>
        <w:ind w:firstLine="709"/>
        <w:jc w:val="both"/>
        <w:spacing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7) повышение уро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вня правовой грамотности контролируемых лиц, в том числе путем обеспечения доступности информации об обязательных требованиях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необходимых мерах по их исполнению.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383"/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осуществления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государственного контр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оля </w:t>
      </w:r>
      <w:r>
        <w:rPr>
          <w:rFonts w:ascii="Times New Roman" w:hAnsi="Times New Roman"/>
          <w:sz w:val="28"/>
        </w:rPr>
        <w:t xml:space="preserve">(надзора)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2022</w:t>
      </w:r>
      <w:r>
        <w:rPr>
          <w:rFonts w:ascii="Times New Roman" w:hAnsi="Times New Roman"/>
          <w:sz w:val="28"/>
          <w:szCs w:val="28"/>
        </w:rPr>
        <w:t xml:space="preserve">-2024 годы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313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417"/>
        <w:gridCol w:w="1417"/>
      </w:tblGrid>
      <w:tr>
        <w:trPr>
          <w:trHeight w:val="1800"/>
        </w:trPr>
        <w:tc>
          <w:tcPr>
            <w:tcW w:w="4503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целевых показателей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показатель</w:t>
            </w:r>
            <w:r/>
          </w:p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(2021 год), %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год, %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2023 год, %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2024 год, %</w:t>
            </w:r>
            <w:r/>
          </w:p>
        </w:tc>
      </w:tr>
      <w:tr>
        <w:trPr>
          <w:trHeight w:val="275"/>
        </w:trPr>
        <w:tc>
          <w:tcPr>
            <w:tcW w:w="4503" w:type="dxa"/>
            <w:vAlign w:val="center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2872"/>
        </w:trPr>
        <w:tc>
          <w:tcPr>
            <w:tcW w:w="4503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Доля проведенных профилактических мероприятий от запланированных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k</m:t>
                    </m:r>
                  </m:e>
                  <m:sub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ПМ</m:t>
                    </m:r>
                  </m:sub>
                </m:sSub>
                <m:r>
                  <w:rPr>
                    <w:rFonts w:ascii="Cambria Math"/>
                    <w:i/>
                    <w:sz w:val="20"/>
                  </w:rPr>
                  <m:rPr/>
                  <m:t>=</m:t>
                </m:r>
                <m:f>
                  <m:f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ПМ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ПМ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/>
                    <w:i/>
                    <w:sz w:val="20"/>
                  </w:rPr>
                  <m:rPr/>
                  <m:t>*100%</m:t>
                </m:r>
              </m:oMath>
            </m:oMathPara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ПМ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Ф</m:t>
                  </m:r>
                </m:sub>
              </m:sSub>
            </m:oMath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– фактическое количество пр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офилактических мероприятий;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ПМ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П</m:t>
                  </m:r>
                </m:sub>
              </m:sSub>
            </m:oMath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– плановое количество профилактических мероприятий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"/>
                <w:szCs w:val="2"/>
                <w:lang w:eastAsia="ru-RU"/>
              </w:rPr>
            </w:pPr>
            <w:r>
              <w:rPr>
                <w:rFonts w:ascii="Times New Roman" w:hAnsi="Times New Roman" w:eastAsia="Times New Roman"/>
                <w:sz w:val="2"/>
                <w:szCs w:val="2"/>
                <w:lang w:eastAsia="ru-RU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rPr>
                <w:rFonts w:ascii="Times New Roman" w:hAnsi="Times New Roman"/>
                <w:i w:val="false"/>
                <w:color w:val="000000" w:themeColor="text1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/>
                <w:i w:val="false"/>
                <w:color w:val="000000" w:themeColor="text1"/>
              </w:rPr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rPr>
                <w:rFonts w:ascii="Times New Roman" w:hAnsi="Times New Roman"/>
                <w:i w:val="false"/>
                <w:color w:val="000000" w:themeColor="text1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/>
                <w:i w:val="false"/>
                <w:color w:val="000000" w:themeColor="text1"/>
              </w:rPr>
            </w:r>
            <w:r>
              <w:rPr>
                <w:i w:val="false"/>
                <w:color w:val="000000" w:themeColor="text1"/>
              </w:rPr>
            </w:r>
          </w:p>
        </w:tc>
      </w:tr>
      <w:tr>
        <w:trPr>
          <w:trHeight w:val="273"/>
        </w:trPr>
        <w:tc>
          <w:tcPr>
            <w:tcW w:w="4503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Опубликование на официальном сайте нормативных правовых актов, содержащих обязательные требования (НПА)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k</m:t>
                    </m:r>
                  </m:e>
                  <m:sub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НПА</m:t>
                    </m:r>
                  </m:sub>
                </m:sSub>
                <m:r>
                  <w:rPr>
                    <w:rFonts w:ascii="Cambria Math"/>
                    <w:i/>
                    <w:sz w:val="20"/>
                  </w:rPr>
                  <m:rPr/>
                  <m:t>=</m:t>
                </m:r>
                <m:f>
                  <m:f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НПА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раз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НПА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ут</m:t>
                        </m:r>
                      </m:sub>
                    </m:sSub>
                  </m:den>
                </m:f>
                <m:r>
                  <w:rPr>
                    <w:rFonts w:ascii="Cambria Math"/>
                    <w:i/>
                    <w:sz w:val="20"/>
                  </w:rPr>
                  <m:rPr/>
                  <m:t>*100%</m:t>
                </m:r>
              </m:oMath>
            </m:oMathPara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-11"/>
                <w:sz w:val="28"/>
                <w:szCs w:val="28"/>
                <w:lang w:eastAsia="ru-RU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НПА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раз</m:t>
                  </m:r>
                </m:sub>
              </m:sSub>
            </m:oMath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– количество НПА, содержа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щих обязательные требования, размещенных </w:t>
              <w:br/>
              <w:t xml:space="preserve">на официальном сайте;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-11"/>
                <w:sz w:val="28"/>
                <w:szCs w:val="28"/>
                <w:lang w:eastAsia="ru-RU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НПА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ут</m:t>
                  </m:r>
                </m:sub>
              </m:sSub>
            </m:oMath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– общее количество утвержденных НПА, содержащих обязательные требования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4"/>
                <w:szCs w:val="4"/>
                <w:lang w:eastAsia="ru-RU"/>
              </w:rPr>
            </w:pPr>
            <w:r>
              <w:rPr>
                <w:rFonts w:ascii="Times New Roman" w:hAnsi="Times New Roman" w:eastAsia="Times New Roman"/>
                <w:sz w:val="4"/>
                <w:szCs w:val="4"/>
                <w:lang w:eastAsia="ru-RU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rPr>
                <w:rFonts w:ascii="Times New Roman" w:hAnsi="Times New Roman"/>
                <w:i w:val="false"/>
                <w:color w:val="000000" w:themeColor="text1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/>
                <w:i w:val="false"/>
                <w:color w:val="000000" w:themeColor="text1"/>
              </w:rPr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rPr>
                <w:rFonts w:ascii="Times New Roman" w:hAnsi="Times New Roman"/>
                <w:i w:val="false"/>
                <w:color w:val="000000" w:themeColor="text1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/>
                <w:i w:val="false"/>
                <w:color w:val="000000" w:themeColor="text1"/>
              </w:rPr>
            </w:r>
            <w:r>
              <w:rPr>
                <w:i w:val="false"/>
                <w:color w:val="000000" w:themeColor="text1"/>
              </w:rPr>
            </w:r>
          </w:p>
        </w:tc>
      </w:tr>
      <w:tr>
        <w:trPr>
          <w:trHeight w:val="273"/>
        </w:trPr>
        <w:tc>
          <w:tcPr>
            <w:tcW w:w="4503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</w:t>
              <w:br/>
              <w:t xml:space="preserve">о недопустимости нарушения обязательных требований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k</m:t>
                    </m:r>
                  </m:e>
                  <m:sub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Пр</m:t>
                    </m:r>
                  </m:sub>
                </m:sSub>
                <m:r>
                  <w:rPr>
                    <w:rFonts w:ascii="Cambria Math"/>
                    <w:i/>
                    <w:sz w:val="20"/>
                  </w:rPr>
                  <m:rPr/>
                  <m:t>=</m:t>
                </m:r>
                <m:f>
                  <m:f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Пред</m:t>
                    </m:r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/>
                    <w:i/>
                    <w:sz w:val="20"/>
                  </w:rPr>
                  <m:rPr/>
                  <m:t>*100%</m:t>
                </m:r>
              </m:oMath>
            </m:oMathPara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</w:r>
            <m:oMath>
              <m:r>
                <w:rPr>
                  <w:rFonts w:ascii="Cambria Math"/>
                  <w:i/>
                  <w:sz w:val="20"/>
                </w:rPr>
                <m:rPr/>
                <m:t>Пред</m:t>
              </m:r>
            </m:oMath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выданных предостережений о недопустимости нарушения обязательных требований;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С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п</m:t>
                  </m:r>
                </m:sub>
              </m:sSub>
            </m:oMath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– количество поступивших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сведений о готовящихся нарушениях или признаках нарушений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rPr>
                <w:rFonts w:ascii="Times New Roman" w:hAnsi="Times New Roman"/>
                <w:i w:val="false"/>
                <w:color w:val="000000" w:themeColor="text1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/>
                <w:i w:val="false"/>
                <w:color w:val="000000" w:themeColor="text1"/>
              </w:rPr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rPr>
                <w:rFonts w:ascii="Times New Roman" w:hAnsi="Times New Roman"/>
                <w:i w:val="false"/>
                <w:color w:val="000000" w:themeColor="text1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/>
                <w:i w:val="false"/>
                <w:color w:val="000000" w:themeColor="text1"/>
              </w:rPr>
            </w:r>
            <w:r>
              <w:rPr>
                <w:i w:val="false"/>
                <w:color w:val="000000" w:themeColor="text1"/>
              </w:rPr>
            </w:r>
          </w:p>
        </w:tc>
      </w:tr>
      <w:tr>
        <w:trPr>
          <w:trHeight w:val="273"/>
        </w:trPr>
        <w:tc>
          <w:tcPr>
            <w:tcW w:w="4503" w:type="dxa"/>
            <w:vAlign w:val="center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spacing w:after="0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i w:val="false"/>
                <w:color w:val="000000" w:themeColor="text1"/>
              </w:rPr>
            </w:r>
          </w:p>
        </w:tc>
      </w:tr>
      <w:tr>
        <w:trPr>
          <w:trHeight w:val="3390"/>
        </w:trPr>
        <w:tc>
          <w:tcPr>
            <w:tcW w:w="4503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охвата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контролируемых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профилактическими мероприятиями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k</m:t>
                    </m:r>
                  </m:e>
                  <m:sub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ох</m:t>
                    </m:r>
                  </m:sub>
                </m:sSub>
                <m:r>
                  <w:rPr>
                    <w:rFonts w:ascii="Cambria Math"/>
                    <w:i/>
                    <w:sz w:val="20"/>
                  </w:rPr>
                  <m:rPr/>
                  <m:t>=</m:t>
                </m:r>
                <m:f>
                  <m:f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ПМ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/>
                    <w:i/>
                    <w:sz w:val="20"/>
                  </w:rPr>
                  <m:rPr/>
                  <m:t>*100%</m:t>
                </m:r>
              </m:oMath>
            </m:oMathPara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С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ПМ</m:t>
                  </m:r>
                </m:sub>
              </m:sSub>
            </m:oMath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контролируемых 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отношении которых проведены профилактические мероприятия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-11"/>
                <w:sz w:val="28"/>
                <w:szCs w:val="28"/>
                <w:lang w:eastAsia="ru-RU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С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общ</m:t>
                  </m:r>
                </m:sub>
              </m:sSub>
            </m:oMath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количество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контролируемых 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60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70*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75*</w:t>
            </w: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80*</w:t>
            </w: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r>
            <w:r>
              <w:rPr>
                <w:i w:val="false"/>
                <w:color w:val="000000" w:themeColor="text1"/>
              </w:rPr>
            </w:r>
          </w:p>
        </w:tc>
      </w:tr>
      <w:tr>
        <w:trPr/>
        <w:tc>
          <w:tcPr>
            <w:tcW w:w="4503" w:type="dxa"/>
            <w:vAlign w:val="top"/>
            <w:textDirection w:val="lrTb"/>
            <w:noWrap w:val="false"/>
          </w:tcPr>
          <w:p>
            <w:pPr>
              <w:pStyle w:val="383"/>
              <w:ind w:right="35"/>
              <w:spacing w:lineRule="auto" w:line="240" w:after="0"/>
              <w:tabs>
                <w:tab w:val="left" w:pos="5845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выданных предписаний:</w:t>
            </w:r>
            <w:r/>
          </w:p>
          <w:p>
            <w:pPr>
              <w:pStyle w:val="383"/>
              <w:ind w:right="35"/>
              <w:jc w:val="center"/>
              <w:spacing w:lineRule="auto" w:line="240" w:after="0"/>
              <w:tabs>
                <w:tab w:val="left" w:pos="5845" w:leader="none"/>
              </w:tabs>
              <w:rPr>
                <w:rFonts w:ascii="Times New Roman" w:hAnsi="Times New Roman"/>
                <w:position w:val="-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k</m:t>
                    </m:r>
                  </m:e>
                  <m:sub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П</m:t>
                    </m:r>
                  </m:sub>
                </m:sSub>
                <m:r>
                  <w:rPr>
                    <w:rFonts w:ascii="Cambria Math"/>
                    <w:i/>
                    <w:sz w:val="20"/>
                  </w:rPr>
                  <m:rPr/>
                  <m:t>=</m:t>
                </m:r>
                <m:f>
                  <m:f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П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тг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П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бг</m:t>
                        </m:r>
                      </m:sub>
                    </m:sSub>
                  </m:den>
                </m:f>
                <m:r>
                  <w:rPr>
                    <w:rFonts w:ascii="Cambria Math"/>
                    <w:i/>
                    <w:sz w:val="20"/>
                  </w:rPr>
                  <m:rPr/>
                  <m:t>*100%</m:t>
                </m:r>
              </m:oMath>
            </m:oMathPara>
            <w:r>
              <w:rPr>
                <w:rFonts w:ascii="Times New Roman" w:hAnsi="Times New Roman"/>
                <w:position w:val="-24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П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тг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количество выданных предписаний в текущем году;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П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бг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количество выданных предписаний в предшествующем году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95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85*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80*</w:t>
            </w: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75*</w:t>
            </w: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r>
            <w:r>
              <w:rPr>
                <w:i w:val="false"/>
                <w:color w:val="000000" w:themeColor="text1"/>
              </w:rPr>
            </w:r>
          </w:p>
        </w:tc>
      </w:tr>
      <w:tr>
        <w:trPr/>
        <w:tc>
          <w:tcPr>
            <w:tcW w:w="4503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tabs>
                <w:tab w:val="left" w:pos="588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исполнительности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контролируемых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странение причин и условий выявленных нарушений обязательных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ребований</w:t>
            </w:r>
            <w:r/>
          </w:p>
          <w:p>
            <w:pPr>
              <w:pStyle w:val="383"/>
              <w:jc w:val="both"/>
              <w:spacing w:lineRule="auto" w:line="240" w:after="0"/>
              <w:tabs>
                <w:tab w:val="left" w:pos="5880" w:leader="none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m:oMathPara>
              <m:oMathParaPr/>
              <m:oMath>
                <m:r>
                  <w:rPr>
                    <w:rFonts w:ascii="Cambria Math"/>
                    <w:i/>
                    <w:sz w:val="20"/>
                  </w:rPr>
                  <m:rPr/>
                  <m:t>n=</m:t>
                </m:r>
                <m:f>
                  <m:fPr>
                    <m:ctrlPr>
                      <w:rPr>
                        <w:rFonts w:asci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Пред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и</m:t>
                        </m:r>
                      </m:sub>
                    </m:sSub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+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П</m:t>
                        </m:r>
                      </m:e>
                      <m:sub>
                        <m:r>
                          <w:rPr>
                            <w:rFonts w:ascii="Cambria Math"/>
                            <w:i/>
                            <w:sz w:val="20"/>
                          </w:rPr>
                          <m:rPr/>
                          <m:t>и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i/>
                        <w:sz w:val="20"/>
                      </w:rPr>
                      <m:rPr/>
                      <m:t>N</m:t>
                    </m:r>
                  </m:den>
                </m:f>
                <m:r>
                  <w:rPr>
                    <w:rFonts w:ascii="Cambria Math"/>
                    <w:i/>
                    <w:sz w:val="20"/>
                  </w:rPr>
                  <m:rPr/>
                  <m:t>*100%</m:t>
                </m:r>
              </m:oMath>
            </m:oMathPara>
            <w:r>
              <w:rPr>
                <w:rFonts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tabs>
                <w:tab w:val="left" w:pos="5880" w:leader="none"/>
              </w:tabs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П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и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количество неисполненых предписаний об устранении выявленных нарушений обязательных требований;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r>
            <w:r/>
          </w:p>
          <w:p>
            <w:pPr>
              <w:pStyle w:val="383"/>
              <w:jc w:val="both"/>
              <w:spacing w:lineRule="auto" w:line="240" w:after="0"/>
              <w:tabs>
                <w:tab w:val="left" w:pos="5880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  <w:vertAlign w:val="subscript"/>
                <w:lang w:eastAsia="ru-RU"/>
              </w:rPr>
            </w:r>
            <m:oMath>
              <m:sSub>
                <m:sSubPr>
                  <m:ctrlPr>
                    <w:rPr>
                      <w:rFonts w:asci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i/>
                      <w:sz w:val="20"/>
                    </w:rPr>
                    <m:rPr/>
                    <m:t>Пред</m:t>
                  </m:r>
                </m:e>
                <m:sub>
                  <m:r>
                    <w:rPr>
                      <w:rFonts w:ascii="Cambria Math"/>
                      <w:i/>
                      <w:sz w:val="20"/>
                    </w:rPr>
                    <m:rPr/>
                    <m:t>и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количество неисполненных предостережений о недопустимости нарушения обязательных требований;</w:t>
            </w:r>
            <w:r/>
          </w:p>
          <w:p>
            <w:pPr>
              <w:pStyle w:val="38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общее количество выд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анных предписаний и предостережений 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70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80*</w:t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85*</w:t>
            </w: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r>
            <w:r>
              <w:rPr>
                <w:i w:val="false"/>
                <w:color w:val="000000" w:themeColor="text1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383"/>
              <w:contextualSpacing w:val="true"/>
              <w:jc w:val="center"/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  <w:t xml:space="preserve">90*</w:t>
            </w:r>
            <w:r>
              <w:rPr>
                <w:rFonts w:ascii="Times New Roman" w:hAnsi="Times New Roman"/>
                <w:i w:val="false"/>
                <w:color w:val="000000" w:themeColor="text1"/>
                <w:sz w:val="28"/>
                <w:szCs w:val="28"/>
              </w:rPr>
            </w:r>
            <w:r>
              <w:rPr>
                <w:i w:val="false"/>
                <w:color w:val="000000" w:themeColor="text1"/>
              </w:rPr>
            </w:r>
          </w:p>
        </w:tc>
      </w:tr>
    </w:tbl>
    <w:p>
      <w:pPr>
        <w:pStyle w:val="385"/>
        <w:ind w:left="0" w:firstLine="0"/>
        <w:jc w:val="center"/>
        <w:spacing w:lineRule="exact" w:line="296" w:before="1"/>
        <w:tabs>
          <w:tab w:val="left" w:pos="1276" w:leader="none"/>
        </w:tabs>
        <w:rPr>
          <w:b w:val="false"/>
          <w:bCs w:val="false"/>
          <w:sz w:val="28"/>
          <w:lang w:val="ru-RU"/>
        </w:rPr>
      </w:pPr>
      <w:r>
        <w:rPr>
          <w:b w:val="false"/>
          <w:bCs w:val="false"/>
          <w:sz w:val="28"/>
          <w:lang w:val="ru-RU"/>
        </w:rPr>
      </w:r>
      <w:r/>
    </w:p>
    <w:p>
      <w:pPr>
        <w:pStyle w:val="385"/>
        <w:ind w:left="0" w:firstLine="0"/>
        <w:jc w:val="center"/>
        <w:spacing w:lineRule="exact" w:line="296" w:before="1"/>
        <w:tabs>
          <w:tab w:val="left" w:pos="1276" w:leader="none"/>
        </w:tabs>
        <w:rPr>
          <w:b w:val="false"/>
          <w:bCs w:val="false"/>
          <w:sz w:val="28"/>
          <w:lang w:val="ru-RU"/>
        </w:rPr>
      </w:pPr>
      <w:r>
        <w:rPr>
          <w:b w:val="false"/>
          <w:bCs w:val="false"/>
          <w:sz w:val="28"/>
          <w:lang w:val="ru-RU"/>
        </w:rPr>
      </w:r>
      <w:r/>
    </w:p>
    <w:p>
      <w:pPr>
        <w:pStyle w:val="385"/>
        <w:ind w:left="0" w:firstLine="0"/>
        <w:jc w:val="center"/>
        <w:spacing w:lineRule="exact" w:line="296" w:before="1"/>
        <w:tabs>
          <w:tab w:val="left" w:pos="1276" w:leader="none"/>
        </w:tabs>
        <w:rPr>
          <w:b w:val="false"/>
          <w:sz w:val="28"/>
          <w:lang w:val="ru-RU"/>
        </w:rPr>
      </w:pPr>
      <w:r>
        <w:rPr>
          <w:b w:val="false"/>
          <w:bCs w:val="false"/>
          <w:sz w:val="28"/>
          <w:lang w:val="ru-RU"/>
        </w:rPr>
      </w:r>
      <w:r>
        <w:rPr>
          <w:b w:val="false"/>
          <w:bCs w:val="false"/>
          <w:sz w:val="28"/>
          <w:lang w:val="ru-RU"/>
        </w:rPr>
      </w:r>
    </w:p>
    <w:p>
      <w:pPr>
        <w:pStyle w:val="385"/>
        <w:ind w:left="0" w:firstLine="0"/>
        <w:jc w:val="center"/>
        <w:spacing w:lineRule="exact" w:line="296" w:before="1"/>
        <w:tabs>
          <w:tab w:val="left" w:pos="1276" w:leader="none"/>
        </w:tabs>
        <w:rPr>
          <w:b w:val="false"/>
          <w:sz w:val="28"/>
          <w:lang w:val="ru-RU"/>
        </w:rPr>
      </w:pPr>
      <w:r>
        <w:rPr>
          <w:b w:val="false"/>
          <w:sz w:val="28"/>
          <w:lang w:val="ru-RU"/>
        </w:rPr>
      </w:r>
      <w:r>
        <w:rPr>
          <w:b w:val="false"/>
          <w:sz w:val="28"/>
          <w:lang w:val="ru-RU"/>
        </w:rPr>
      </w:r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_______________</w:t>
      </w:r>
      <w:r/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sz w:val="20"/>
          <w:szCs w:val="20"/>
          <w:lang w:bidi="en-US"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bidi="en-US" w:eastAsia="ru-RU"/>
        </w:rPr>
        <w:t xml:space="preserve">*</w:t>
      </w:r>
      <w:r>
        <w:rPr>
          <w:rFonts w:ascii="Times New Roman" w:hAnsi="Times New Roman" w:eastAsia="Times New Roman"/>
          <w:sz w:val="20"/>
          <w:szCs w:val="20"/>
          <w:lang w:bidi="en-US" w:eastAsia="ru-RU"/>
        </w:rPr>
        <w:t xml:space="preserve">Целевые показатели подлежат ежегодной актуализации.</w:t>
      </w:r>
      <w:r>
        <w:rPr>
          <w:rFonts w:ascii="Times New Roman" w:hAnsi="Times New Roman" w:eastAsia="Times New Roman"/>
          <w:sz w:val="20"/>
          <w:szCs w:val="20"/>
          <w:lang w:bidi="en-US" w:eastAsia="ru-RU"/>
        </w:rPr>
      </w:r>
      <w:r/>
      <w:r>
        <w:rPr>
          <w:rFonts w:ascii="Times New Roman" w:hAnsi="Times New Roman" w:eastAsia="Times New Roman"/>
          <w:sz w:val="20"/>
          <w:szCs w:val="20"/>
          <w:lang w:bidi="en-US" w:eastAsia="ru-RU"/>
        </w:rPr>
      </w:r>
      <w:r>
        <w:rPr>
          <w:rFonts w:ascii="Times New Roman" w:hAnsi="Times New Roman" w:eastAsia="Times New Roman"/>
          <w:sz w:val="20"/>
          <w:szCs w:val="20"/>
          <w:lang w:bidi="en-US" w:eastAsia="ru-RU"/>
        </w:rPr>
      </w:r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sz w:val="20"/>
          <w:szCs w:val="20"/>
          <w:lang w:bidi="en-US" w:eastAsia="ru-RU"/>
        </w:rPr>
      </w:pPr>
      <w:r>
        <w:rPr>
          <w:rFonts w:ascii="Times New Roman" w:hAnsi="Times New Roman" w:eastAsia="Times New Roman"/>
          <w:sz w:val="20"/>
          <w:szCs w:val="20"/>
          <w:lang w:bidi="en-US" w:eastAsia="ru-RU"/>
        </w:rPr>
      </w:r>
      <w:r>
        <w:rPr>
          <w:rFonts w:ascii="Times New Roman" w:hAnsi="Times New Roman" w:eastAsia="Times New Roman"/>
          <w:sz w:val="20"/>
          <w:szCs w:val="20"/>
          <w:lang w:bidi="en-US" w:eastAsia="ru-RU"/>
        </w:rPr>
      </w:r>
    </w:p>
    <w:p>
      <w:pPr>
        <w:pStyle w:val="385"/>
        <w:ind w:left="0" w:firstLine="0"/>
        <w:jc w:val="center"/>
        <w:spacing w:lineRule="exact" w:line="296" w:before="1"/>
        <w:tabs>
          <w:tab w:val="left" w:pos="1276" w:leader="none"/>
        </w:tabs>
        <w:rPr>
          <w:b w:val="false"/>
          <w:bCs w:val="false"/>
          <w:sz w:val="28"/>
          <w:lang w:val="ru-RU"/>
        </w:rPr>
      </w:pPr>
      <w:r>
        <w:rPr>
          <w:b w:val="false"/>
          <w:bCs w:val="false"/>
          <w:sz w:val="28"/>
        </w:rPr>
        <w:t xml:space="preserve">Раздел </w:t>
      </w:r>
      <w:r>
        <w:rPr>
          <w:b w:val="false"/>
          <w:bCs w:val="false"/>
          <w:sz w:val="28"/>
          <w:lang w:val="en-US"/>
        </w:rPr>
        <w:t xml:space="preserve">III</w:t>
      </w:r>
      <w:r>
        <w:rPr>
          <w:b w:val="false"/>
          <w:bCs w:val="false"/>
          <w:sz w:val="28"/>
        </w:rPr>
        <w:t xml:space="preserve">. Перечень профилактических мероприятий, сроки (периодичность) </w:t>
      </w:r>
      <w:r>
        <w:rPr>
          <w:b w:val="false"/>
          <w:bCs w:val="false"/>
          <w:sz w:val="28"/>
          <w:lang w:val="ru-RU"/>
        </w:rPr>
        <w:br/>
      </w:r>
      <w:r>
        <w:rPr>
          <w:b w:val="false"/>
          <w:bCs w:val="false"/>
          <w:sz w:val="28"/>
        </w:rPr>
        <w:t xml:space="preserve">их проведения</w:t>
      </w:r>
      <w:r>
        <w:rPr>
          <w:b w:val="false"/>
          <w:bCs w:val="false"/>
          <w:sz w:val="28"/>
          <w:lang w:val="ru-RU"/>
        </w:rPr>
      </w:r>
      <w:r/>
    </w:p>
    <w:p>
      <w:pPr>
        <w:pStyle w:val="417"/>
        <w:ind w:left="851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17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Перечень профилактических мероприятий: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1) информирование;</w:t>
      </w:r>
      <w:r/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2) обобщение правоприменительной практики;</w:t>
      </w:r>
      <w:r/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3) </w:t>
      </w:r>
      <w:r>
        <w:rPr>
          <w:rFonts w:ascii="Times New Roman" w:hAnsi="Times New Roman"/>
          <w:sz w:val="28"/>
          <w:szCs w:val="28"/>
        </w:rPr>
        <w:t xml:space="preserve">объявление предостережения о недопустимости нарушения обязательных требований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4) консультирование;</w:t>
      </w:r>
      <w:r/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5)</w:t>
      </w:r>
      <w:r>
        <w:rPr>
          <w:rFonts w:ascii="Times New Roman" w:hAnsi="Times New Roman" w:eastAsia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самообследование;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6) профилактический визит.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18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 Реализация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программы профилактики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осущ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ествляется путем исполнения профилактических ме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роприятий</w:t>
      </w:r>
      <w:r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417"/>
        <w:ind w:left="0" w:firstLine="567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pStyle w:val="417"/>
        <w:ind w:left="0" w:firstLine="567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Информирование</w:t>
      </w:r>
      <w:r/>
    </w:p>
    <w:p>
      <w:pPr>
        <w:pStyle w:val="417"/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709"/>
        <w:jc w:val="both"/>
        <w:spacing w:after="0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 Информирование контролируемых лиц и иных заинтересованных лиц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вопросам соблюд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ения обязательных требований проводится в соответствии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положениями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46 Федерального закона № 248-ФЗ.</w:t>
      </w:r>
      <w:r/>
    </w:p>
    <w:p>
      <w:pPr>
        <w:pStyle w:val="417"/>
        <w:ind w:left="0"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 информац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ионно-телекоммуникационной сети Интернет, в средствах массовой информации, через личные кабинеты контролируемых лиц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государственных информационных системах (при их наличии) и в иных формах.</w:t>
      </w:r>
      <w:r/>
    </w:p>
    <w:p>
      <w:pPr>
        <w:pStyle w:val="417"/>
        <w:ind w:left="0"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Контрольный (надзорный) орган размещает и поддерживает в ак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туальном состоянии на своем официальном сайте в информационно-телекоммуникационной сети Интернет следующую информацию:</w:t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1)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тексты нормативных правовых актов, регулирующих осуществление государственного контроля (надзора), в течение 10 дней с даты принятия 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ормативного правового акта;</w:t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2)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порядке их вступления в силу, в течение 10 дней с даты внесения изменений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нормативн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ые правовые акты;</w:t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перечень нормативных правовых актов с текстами в действующей редакции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контроля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(надзора)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также информацию о мерах ответственности, применяемых при нарушении обязательных требований, в течение 10 дней с даты внесения изменений в нормативные правовые акты;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4) утвержденные проверочные листы в формате, допускающем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их использование для самообследо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вания, в течение 10 дней с даты утверждения;</w:t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утвержденные в соответствии с Федеральным законом «Об обязательных требованиях в Российской Федерации», ежегодно до 15 марта; </w:t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6) перечень 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ндикаторов риска нарушения обязательных требований, порядок отнесения объектов контроля к категориям риска, по мере необходимости,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но не реже 1 раза в 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д;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7) перечень объектов контроля, учитываемых в рамках формирования ежегодного плана контрольных (на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дзорных) мероприятий, с указанием категории риска, по мере необходимости, но не реже 1 раз в год;</w:t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нии таких мероприятий), </w:t>
      </w:r>
      <w:bookmarkStart w:id="3" w:name="_Hlk82349381"/>
      <w:r>
        <w:rPr>
          <w:rFonts w:ascii="Times New Roman" w:hAnsi="Times New Roman"/>
          <w:sz w:val="28"/>
          <w:szCs w:val="28"/>
        </w:rPr>
        <w:t xml:space="preserve">ежегодно в период с 1 по 10 декабря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/>
      <w:bookmarkEnd w:id="3"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9) исчерпывающий перечень сведений, которые могут запрашиваться контрол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ьным (надзорным) органо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 у контролируемого лица, ежегодно в </w:t>
      </w:r>
      <w:r>
        <w:rPr>
          <w:rFonts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квартале;</w:t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10) сведения о способах получения консультаций по во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просам соблюдения обязательных требований, ежегодно в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первом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квартале;</w:t>
      </w:r>
      <w:r>
        <w:rPr>
          <w:rFonts w:ascii="Times New Roman" w:hAnsi="Times New Roman" w:eastAsia="Times New Roman"/>
          <w:iCs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не реже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одного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раза в год;</w:t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) доклады, содержащие результаты обобщения правоприменительной практики контрольного (надзорного) органа, </w:t>
      </w:r>
      <w:bookmarkStart w:id="4" w:name="_Hlk82349391"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ежегодно, до 15 марта;</w:t>
      </w:r>
      <w:r/>
    </w:p>
    <w:p>
      <w:pPr>
        <w:pStyle w:val="417"/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/>
      <w:bookmarkEnd w:id="4"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13) доклады о государственном контроле (надзоре), ежегодно не позднее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15 марта.</w:t>
      </w:r>
      <w:r/>
    </w:p>
    <w:p>
      <w:pPr>
        <w:pStyle w:val="417"/>
        <w:ind w:left="0" w:firstLine="567"/>
        <w:jc w:val="center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center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Обобщение правоприменительной практики</w:t>
      </w:r>
      <w:r/>
    </w:p>
    <w:p>
      <w:pPr>
        <w:pStyle w:val="417"/>
        <w:ind w:left="0" w:firstLine="567"/>
        <w:jc w:val="center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both"/>
        <w:spacing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Cs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общение правоприменительной практики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проводится в соответствии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положениями статьи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47 Федерального закона № 248-ФЗ.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В целях обобщения правоприменительной практики осуществления государственного контроля (надзора) должностные лица контрольного (надзорно</w:t>
      </w:r>
      <w:r>
        <w:rPr>
          <w:szCs w:val="28"/>
        </w:rPr>
        <w:t xml:space="preserve">го) органа организуют подготовку доклада, содержащего результаты обобщения правоприменительной практики за предыдущий календарный год (далее – доклад </w:t>
        <w:br/>
        <w:t xml:space="preserve">о правоприменительной практике).</w:t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Периодичность подготовки доклада о правоприменительной практике – один р</w:t>
      </w:r>
      <w:r>
        <w:rPr>
          <w:szCs w:val="28"/>
        </w:rPr>
        <w:t xml:space="preserve">аз в год.</w:t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23</w:t>
      </w:r>
      <w:r>
        <w:rPr>
          <w:szCs w:val="28"/>
        </w:rPr>
        <w:t xml:space="preserve">. Проект доклада о правоприменительной практике в срок до 10 февраля текущего года размещается на официальном сайте контрольного (надзорного) органа в информационно-телекоммуникационной сети «Интернет» для публичного обсуждения на срок не менее</w:t>
      </w:r>
      <w:r>
        <w:rPr>
          <w:szCs w:val="28"/>
        </w:rPr>
        <w:t xml:space="preserve"> 10 рабочих дней.</w:t>
      </w:r>
      <w:r/>
    </w:p>
    <w:p>
      <w:pPr>
        <w:pStyle w:val="383"/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. Доклад о правоприменительной практике утверждается приказом руководителя контрольного (надзорного) органа и до 15 марта текущего календарного года размещается на официальном сайте контрольного (надзорного) органа в 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оммуникационной сети Интернет.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Объявление предостережения</w:t>
      </w:r>
      <w:r/>
    </w:p>
    <w:p>
      <w:pPr>
        <w:pStyle w:val="417"/>
        <w:ind w:left="0"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25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Объявление предостережения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проводится в соответствии с положениями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49 Федерального закона № 248-ФЗ.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Контрольный (надзорный) орган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осуществляет учет объявленных предостережений о недопус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тимости нарушения обязательных требований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 использует соответствующие данные для проведения иных профилактических мероприятий и контрольных (надзорных) мероприятий.</w:t>
      </w:r>
      <w:r/>
    </w:p>
    <w:p>
      <w:pPr>
        <w:pStyle w:val="417"/>
        <w:ind w:lef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Срок (периодичность) проведения данного мероприятия: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постоянно.</w:t>
      </w:r>
      <w:r/>
    </w:p>
    <w:p>
      <w:pPr>
        <w:pStyle w:val="417"/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center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Консультирование</w:t>
      </w:r>
      <w:r/>
    </w:p>
    <w:p>
      <w:pPr>
        <w:pStyle w:val="417"/>
        <w:ind w:left="0" w:firstLine="567"/>
        <w:jc w:val="center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709"/>
        <w:jc w:val="both"/>
        <w:spacing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26. 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нсультирование проводится в соответствии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положениями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50 Федерального закона № 248-ФЗ.</w:t>
      </w:r>
      <w:r/>
    </w:p>
    <w:p>
      <w:pPr>
        <w:pStyle w:val="417"/>
        <w:ind w:left="0" w:firstLine="709"/>
        <w:jc w:val="both"/>
        <w:spacing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Консультирование контролируемого лица и его представителя проводится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телефону, посредством видеоконференцсвязи, на личном приеме либо в ходе проведения проф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илактического мероприятия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виде профилактического визита, контрольных (надзорных) мероприятий в виде инспекционного визита, документарной или выездной проверки должностным лицом контрольного (надзорного) органа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27</w:t>
      </w:r>
      <w:r>
        <w:rPr>
          <w:szCs w:val="28"/>
        </w:rPr>
        <w:t xml:space="preserve">. Консультирование контролируемого лица </w:t>
      </w:r>
      <w:r>
        <w:rPr>
          <w:szCs w:val="28"/>
        </w:rPr>
        <w:t xml:space="preserve">и его представителя осуществляется по следующим вопросам:</w:t>
      </w:r>
      <w:r/>
    </w:p>
    <w:p>
      <w:pPr>
        <w:pStyle w:val="389"/>
        <w:ind w:firstLine="709"/>
        <w:jc w:val="both"/>
        <w:spacing w:lineRule="auto" w:line="276"/>
        <w:tabs>
          <w:tab w:val="left" w:pos="1134" w:leader="none"/>
        </w:tabs>
        <w:rPr>
          <w:szCs w:val="28"/>
        </w:rPr>
      </w:pPr>
      <w:r>
        <w:rPr>
          <w:szCs w:val="28"/>
        </w:rPr>
        <w:t xml:space="preserve">1) об обязательных требованиях, предъявляемых к деятельности контролируемых лиц, отнесении контролируемых лиц к категориям риска, основаниях и о рекомендуемых способах снижения категории риска, а та</w:t>
      </w:r>
      <w:r>
        <w:rPr>
          <w:szCs w:val="28"/>
        </w:rPr>
        <w:t xml:space="preserve">кже </w:t>
        <w:br/>
        <w:t xml:space="preserve">о видах, содержании и об интенсивности проводимых контрольных (надзорных) мероприятий;</w:t>
      </w:r>
      <w:r/>
    </w:p>
    <w:p>
      <w:pPr>
        <w:pStyle w:val="389"/>
        <w:ind w:firstLine="709"/>
        <w:jc w:val="both"/>
        <w:spacing w:lineRule="auto" w:line="276"/>
        <w:tabs>
          <w:tab w:val="left" w:pos="1134" w:leader="none"/>
        </w:tabs>
        <w:rPr>
          <w:szCs w:val="28"/>
        </w:rPr>
      </w:pPr>
      <w:r>
        <w:rPr>
          <w:szCs w:val="28"/>
        </w:rPr>
        <w:t xml:space="preserve">2) о порядке осуществления государственного контроля (надзора);</w:t>
      </w:r>
      <w:r/>
    </w:p>
    <w:p>
      <w:pPr>
        <w:pStyle w:val="389"/>
        <w:ind w:firstLine="709"/>
        <w:jc w:val="both"/>
        <w:spacing w:lineRule="auto" w:line="276"/>
        <w:tabs>
          <w:tab w:val="left" w:pos="1134" w:leader="none"/>
        </w:tabs>
        <w:rPr>
          <w:szCs w:val="28"/>
        </w:rPr>
      </w:pPr>
      <w:r>
        <w:rPr>
          <w:szCs w:val="28"/>
        </w:rPr>
        <w:t xml:space="preserve">3) о досудебном (внесудебном) обжаловании действий (бездействия) </w:t>
        <w:br/>
        <w:t xml:space="preserve">и (или) решений, принятых должност</w:t>
      </w:r>
      <w:r>
        <w:rPr>
          <w:szCs w:val="28"/>
        </w:rPr>
        <w:t xml:space="preserve">ными лицами контрольного (надзорного) органа при осуществлении государственного контроля (надзора) в отношении контролируемых лиц;</w:t>
      </w:r>
      <w:r/>
    </w:p>
    <w:p>
      <w:pPr>
        <w:pStyle w:val="417"/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 об административной ответственности за нарушение обязательных требований.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709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center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Профилактический визит</w:t>
      </w:r>
      <w:r/>
    </w:p>
    <w:p>
      <w:pPr>
        <w:pStyle w:val="417"/>
        <w:ind w:left="0" w:firstLine="567"/>
        <w:jc w:val="center"/>
        <w:spacing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8</w:t>
      </w:r>
      <w:r>
        <w:rPr>
          <w:szCs w:val="28"/>
        </w:rPr>
        <w:t xml:space="preserve">. </w:t>
      </w:r>
      <w:r>
        <w:rPr>
          <w:color w:val="000000"/>
          <w:szCs w:val="28"/>
        </w:rPr>
        <w:t xml:space="preserve">Профилактический ви</w:t>
      </w:r>
      <w:r>
        <w:rPr>
          <w:color w:val="000000"/>
          <w:szCs w:val="28"/>
        </w:rPr>
        <w:t xml:space="preserve">зит </w:t>
      </w:r>
      <w:r>
        <w:rPr>
          <w:color w:val="000000"/>
          <w:szCs w:val="28"/>
        </w:rPr>
        <w:t xml:space="preserve">проводи</w:t>
      </w:r>
      <w:r>
        <w:rPr>
          <w:color w:val="000000"/>
          <w:szCs w:val="28"/>
        </w:rPr>
        <w:t xml:space="preserve">тся в соответствии с положениями статьи</w:t>
      </w:r>
      <w:r>
        <w:rPr>
          <w:color w:val="000000"/>
          <w:szCs w:val="28"/>
        </w:rPr>
        <w:t xml:space="preserve"> 52 Федерального закона № 248-ФЗ</w:t>
      </w:r>
      <w:r>
        <w:rPr>
          <w:color w:val="000000"/>
          <w:szCs w:val="28"/>
        </w:rPr>
        <w:t xml:space="preserve">.</w:t>
      </w:r>
      <w:r>
        <w:rPr>
          <w:szCs w:val="28"/>
        </w:rPr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Контрольный (надзорный) орган обязан предложить проведение профилактического визита контролируемым лицам не позднее чем в течение одного года с момента начала </w:t>
      </w:r>
      <w:r>
        <w:rPr>
          <w:szCs w:val="28"/>
        </w:rPr>
        <w:t xml:space="preserve">ими </w:t>
      </w:r>
      <w:r>
        <w:rPr>
          <w:szCs w:val="28"/>
        </w:rPr>
        <w:t xml:space="preserve">деятельно</w:t>
      </w:r>
      <w:r>
        <w:rPr>
          <w:szCs w:val="28"/>
        </w:rPr>
        <w:t xml:space="preserve">сти</w:t>
      </w:r>
      <w:r>
        <w:rPr>
          <w:szCs w:val="28"/>
        </w:rPr>
        <w:t xml:space="preserve">: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1) по </w:t>
      </w:r>
      <w:r>
        <w:rPr>
          <w:szCs w:val="28"/>
        </w:rPr>
        <w:t xml:space="preserve">осуществлению</w:t>
      </w:r>
      <w:r>
        <w:rPr>
          <w:szCs w:val="28"/>
        </w:rPr>
        <w:t xml:space="preserve"> работ по капитальному ремонту, ремонту и содержанию автомоб</w:t>
      </w:r>
      <w:r>
        <w:rPr>
          <w:szCs w:val="28"/>
        </w:rPr>
        <w:t xml:space="preserve">ильных дорог общего пользования муниципального</w:t>
      </w:r>
      <w:r>
        <w:rPr>
          <w:szCs w:val="28"/>
        </w:rPr>
        <w:t xml:space="preserve"> значения Московской области </w:t>
      </w:r>
      <w:r>
        <w:rPr>
          <w:szCs w:val="28"/>
        </w:rPr>
        <w:t xml:space="preserve">и искусственных дорожных сооружений на них </w:t>
      </w:r>
      <w:r>
        <w:rPr>
          <w:szCs w:val="28"/>
        </w:rPr>
        <w:br/>
      </w:r>
      <w:r>
        <w:rPr>
          <w:szCs w:val="28"/>
        </w:rPr>
        <w:t xml:space="preserve">в части обеспечения сохранности авто</w:t>
      </w:r>
      <w:r>
        <w:rPr>
          <w:szCs w:val="28"/>
        </w:rPr>
        <w:t xml:space="preserve">мобильных дорог;</w:t>
      </w:r>
      <w:r/>
    </w:p>
    <w:p>
      <w:pPr>
        <w:pStyle w:val="389"/>
        <w:ind w:firstLine="709"/>
        <w:jc w:val="both"/>
        <w:spacing w:lineRule="auto" w:line="276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2) по</w:t>
      </w:r>
      <w:r>
        <w:rPr>
          <w:szCs w:val="28"/>
        </w:rPr>
        <w:t xml:space="preserve"> </w:t>
      </w:r>
      <w:r>
        <w:rPr>
          <w:szCs w:val="28"/>
        </w:rPr>
        <w:t xml:space="preserve">эксплуатации объектов дорожного сервиса, размещенных в </w:t>
      </w:r>
      <w:r>
        <w:rPr>
          <w:szCs w:val="28"/>
        </w:rPr>
        <w:t xml:space="preserve">полос</w:t>
      </w:r>
      <w:r>
        <w:rPr>
          <w:szCs w:val="28"/>
        </w:rPr>
        <w:t xml:space="preserve">ах</w:t>
      </w:r>
      <w:r>
        <w:rPr>
          <w:szCs w:val="28"/>
        </w:rPr>
        <w:t xml:space="preserve"> отвода и (или) придорожных полос</w:t>
      </w:r>
      <w:r>
        <w:rPr>
          <w:szCs w:val="28"/>
        </w:rPr>
        <w:t xml:space="preserve">ах</w:t>
      </w:r>
      <w:r>
        <w:rPr>
          <w:szCs w:val="28"/>
        </w:rPr>
        <w:t xml:space="preserve"> автомобильных дорог общего пользования </w:t>
      </w:r>
      <w:r>
        <w:rPr>
          <w:szCs w:val="28"/>
        </w:rPr>
        <w:t xml:space="preserve">муниципального</w:t>
      </w:r>
      <w:r>
        <w:rPr>
          <w:szCs w:val="28"/>
        </w:rPr>
        <w:t xml:space="preserve"> значения Московской области;</w:t>
      </w:r>
      <w:r>
        <w:rPr>
          <w:szCs w:val="28"/>
        </w:rPr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3) </w:t>
      </w:r>
      <w:r>
        <w:rPr>
          <w:szCs w:val="28"/>
        </w:rPr>
        <w:t xml:space="preserve">по</w:t>
      </w:r>
      <w:r>
        <w:rPr>
          <w:szCs w:val="28"/>
        </w:rPr>
        <w:t xml:space="preserve"> осуществлению регулярных п</w:t>
      </w:r>
      <w:r>
        <w:rPr>
          <w:szCs w:val="28"/>
        </w:rPr>
        <w:t xml:space="preserve">еревозок по  </w:t>
      </w:r>
      <w:r>
        <w:rPr>
          <w:szCs w:val="28"/>
        </w:rPr>
        <w:t xml:space="preserve">муниципальным </w:t>
      </w:r>
      <w:r>
        <w:rPr>
          <w:szCs w:val="28"/>
        </w:rPr>
        <w:t xml:space="preserve">маршрутам регулярных перевозок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 не относящих</w:t>
      </w:r>
      <w:r>
        <w:rPr>
          <w:szCs w:val="28"/>
        </w:rPr>
        <w:t xml:space="preserve">ся к предмету федерального и регионального государственного контроля (надзора) на автомобильном транспорте, городском наземном электр</w:t>
      </w:r>
      <w:r>
        <w:rPr>
          <w:szCs w:val="28"/>
        </w:rPr>
        <w:t xml:space="preserve">ическом транспорте и в дорожном хозяйстве в области организации регулярных перевозок</w:t>
      </w:r>
      <w:r>
        <w:rPr>
          <w:szCs w:val="28"/>
        </w:rPr>
        <w:t xml:space="preserve">.</w:t>
      </w:r>
      <w:r>
        <w:rPr>
          <w:szCs w:val="28"/>
        </w:rPr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Профилактический визит проводится в</w:t>
      </w:r>
      <w:r>
        <w:rPr>
          <w:szCs w:val="28"/>
        </w:rPr>
        <w:t xml:space="preserve"> феврале, июне, августе и </w:t>
      </w:r>
      <w:r>
        <w:rPr>
          <w:szCs w:val="28"/>
        </w:rPr>
        <w:t xml:space="preserve">ноябре</w:t>
      </w:r>
      <w:r>
        <w:rPr>
          <w:szCs w:val="28"/>
        </w:rPr>
        <w:t xml:space="preserve">. </w:t>
      </w:r>
      <w:r>
        <w:rPr>
          <w:szCs w:val="28"/>
        </w:rPr>
        <w:t xml:space="preserve">Срок проведения профилактического визита (обязательного профилактического визита) не может превышать </w:t>
      </w:r>
      <w:r>
        <w:rPr>
          <w:szCs w:val="28"/>
        </w:rPr>
        <w:t xml:space="preserve">1 рабочий день.</w:t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29. В отношении контролируемых лиц, отнесенных к категории высокого риска, обязательный профилактический визит проводится не реже одного раза в год.</w:t>
      </w:r>
      <w:r/>
    </w:p>
    <w:p>
      <w:pPr>
        <w:pStyle w:val="389"/>
        <w:ind w:firstLine="709"/>
        <w:jc w:val="both"/>
        <w:spacing w:lineRule="auto" w:line="276"/>
        <w:tabs>
          <w:tab w:val="left" w:pos="851" w:leader="none"/>
          <w:tab w:val="left" w:pos="1134" w:leader="none"/>
        </w:tabs>
        <w:rPr>
          <w:color w:val="000000"/>
          <w:szCs w:val="28"/>
        </w:rPr>
      </w:pPr>
      <w:r>
        <w:rPr>
          <w:szCs w:val="28"/>
        </w:rPr>
        <w:t xml:space="preserve">30. Контролируемое лицо вправе отказаться от проведения обязательного профилактического виз</w:t>
      </w:r>
      <w:r>
        <w:rPr>
          <w:szCs w:val="28"/>
        </w:rPr>
        <w:t xml:space="preserve">ита, письменно уведомив об этом контрольный (надзорный) орган не позднее чем за три рабочих дня до даты его проведения.</w:t>
      </w:r>
      <w:r>
        <w:rPr>
          <w:color w:val="000000"/>
          <w:szCs w:val="28"/>
        </w:rPr>
      </w:r>
      <w:r/>
    </w:p>
    <w:p>
      <w:pPr>
        <w:pStyle w:val="417"/>
        <w:ind w:left="0" w:firstLine="567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7"/>
        <w:ind w:left="0" w:firstLine="567"/>
        <w:jc w:val="center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Самообследование</w:t>
      </w:r>
      <w:r/>
    </w:p>
    <w:p>
      <w:pPr>
        <w:pStyle w:val="417"/>
        <w:ind w:left="0" w:firstLine="567"/>
        <w:jc w:val="center"/>
        <w:spacing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383"/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Самообследование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</w:t>
      </w:r>
      <w:r>
        <w:rPr>
          <w:rFonts w:ascii="Times New Roman" w:hAnsi="Times New Roman"/>
          <w:color w:val="000000"/>
          <w:sz w:val="28"/>
          <w:szCs w:val="28"/>
        </w:rPr>
        <w:t xml:space="preserve">ится в соответствии с положениями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</w:t>
      </w:r>
      <w:r>
        <w:rPr>
          <w:rFonts w:ascii="Times New Roman" w:hAnsi="Times New Roman"/>
          <w:color w:val="000000"/>
          <w:sz w:val="28"/>
          <w:szCs w:val="28"/>
        </w:rPr>
        <w:t xml:space="preserve">и 5</w:t>
      </w:r>
      <w:r>
        <w:rPr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248-ФЗ.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383"/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целях добровол</w:t>
      </w:r>
      <w:r>
        <w:rPr>
          <w:rFonts w:ascii="Times New Roman" w:hAnsi="Times New Roman" w:eastAsia="Times New Roman"/>
          <w:sz w:val="28"/>
          <w:szCs w:val="28"/>
        </w:rPr>
        <w:t xml:space="preserve">ьного определения контролируемыми лицами уровня соблюдения обязательных требований, ими может применяться самостоятельная оценка соблюдения обязательных требований (самообследование).</w:t>
      </w:r>
      <w:r>
        <w:rPr>
          <w:rFonts w:ascii="Times New Roman" w:hAnsi="Times New Roman"/>
        </w:rPr>
      </w:r>
      <w:r/>
    </w:p>
    <w:p>
      <w:pPr>
        <w:pStyle w:val="383"/>
        <w:ind w:firstLine="709"/>
        <w:jc w:val="both"/>
        <w:spacing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/>
      <w:bookmarkStart w:id="5" w:name="2et92p0"/>
      <w:r/>
      <w:bookmarkEnd w:id="5"/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. Самообследование осуществляется в автоматизированном режиме </w:t>
        <w:br/>
        <w:t xml:space="preserve">на офиц</w:t>
      </w:r>
      <w:r>
        <w:rPr>
          <w:rFonts w:ascii="Times New Roman" w:hAnsi="Times New Roman" w:eastAsia="Times New Roman"/>
          <w:sz w:val="28"/>
          <w:szCs w:val="28"/>
        </w:rPr>
        <w:t xml:space="preserve">иальном сайте контрольного органа в</w:t>
      </w:r>
      <w:r>
        <w:rPr>
          <w:rFonts w:ascii="Times New Roman" w:hAnsi="Times New Roman" w:eastAsia="Times New Roman"/>
          <w:sz w:val="28"/>
          <w:szCs w:val="28"/>
          <w:lang w:val="en-US" w:eastAsia="en-US"/>
        </w:rPr>
        <w:t xml:space="preserve"> разделе «Контрольно-надзорная деятельность»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17"/>
        <w:ind w:left="851" w:firstLine="425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85"/>
        <w:ind w:left="0" w:firstLine="0"/>
        <w:jc w:val="center"/>
        <w:spacing w:lineRule="auto" w:line="276"/>
        <w:rPr>
          <w:b w:val="false"/>
          <w:bCs w:val="false"/>
          <w:sz w:val="28"/>
          <w:lang w:val="ru-RU"/>
        </w:rPr>
      </w:pPr>
      <w:r>
        <w:rPr>
          <w:b w:val="false"/>
          <w:bCs w:val="false"/>
          <w:sz w:val="28"/>
        </w:rPr>
        <w:t xml:space="preserve">Раздел </w:t>
      </w:r>
      <w:r>
        <w:rPr>
          <w:b w:val="false"/>
          <w:bCs w:val="false"/>
          <w:sz w:val="28"/>
          <w:lang w:val="en-US"/>
        </w:rPr>
        <w:t xml:space="preserve">IV</w:t>
      </w:r>
      <w:r>
        <w:rPr>
          <w:b w:val="false"/>
          <w:bCs w:val="false"/>
          <w:sz w:val="28"/>
        </w:rPr>
        <w:t xml:space="preserve">. Показатели результативности и эффективности </w:t>
      </w:r>
      <w:r>
        <w:rPr>
          <w:b w:val="false"/>
          <w:bCs w:val="false"/>
          <w:sz w:val="28"/>
          <w:lang w:val="ru-RU"/>
        </w:rPr>
        <w:br/>
      </w:r>
      <w:r>
        <w:rPr>
          <w:b w:val="false"/>
          <w:bCs w:val="false"/>
          <w:sz w:val="28"/>
        </w:rPr>
        <w:t xml:space="preserve">программы профилактики</w:t>
      </w:r>
      <w:r>
        <w:rPr>
          <w:b w:val="false"/>
          <w:bCs w:val="false"/>
          <w:sz w:val="28"/>
          <w:lang w:val="ru-RU"/>
        </w:rPr>
      </w:r>
      <w:r/>
    </w:p>
    <w:p>
      <w:pPr>
        <w:pStyle w:val="417"/>
        <w:ind w:left="1080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415"/>
        <w:ind w:left="0" w:firstLine="567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33</w:t>
      </w:r>
      <w:r>
        <w:rPr>
          <w:color w:val="000000"/>
          <w:sz w:val="28"/>
          <w:szCs w:val="28"/>
          <w:lang w:val="ru-RU" w:bidi="ar-SA" w:eastAsia="ru-RU"/>
        </w:rPr>
        <w:t xml:space="preserve">. Эффективность реализации программы профилактики оценивается:</w:t>
      </w:r>
      <w:r/>
    </w:p>
    <w:p>
      <w:pPr>
        <w:pStyle w:val="415"/>
        <w:ind w:left="0" w:firstLine="567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1) повышением эффективности с</w:t>
      </w:r>
      <w:r>
        <w:rPr>
          <w:color w:val="000000"/>
          <w:sz w:val="28"/>
          <w:szCs w:val="28"/>
          <w:lang w:val="ru-RU" w:bidi="ar-SA" w:eastAsia="ru-RU"/>
        </w:rPr>
        <w:t xml:space="preserve">истемы профилактики нарушений обязательных требований;</w:t>
      </w:r>
      <w:r/>
    </w:p>
    <w:p>
      <w:pPr>
        <w:pStyle w:val="415"/>
        <w:ind w:left="0" w:firstLine="567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2) повышением уровня правовой грамотности контролируемых лиц в вопросах исполнения обязательных требований, степенью их информативности </w:t>
        <w:br/>
        <w:t xml:space="preserve">об обязательных требованиях, о принятых и готовящихся изменениях</w:t>
      </w:r>
      <w:r>
        <w:rPr>
          <w:color w:val="000000"/>
          <w:sz w:val="28"/>
          <w:szCs w:val="28"/>
          <w:lang w:val="ru-RU" w:bidi="ar-SA" w:eastAsia="ru-RU"/>
        </w:rPr>
        <w:t xml:space="preserve"> в системе обязательных требований, о порядке проведения </w:t>
      </w:r>
      <w:r>
        <w:rPr>
          <w:color w:val="000000"/>
          <w:sz w:val="28"/>
          <w:szCs w:val="28"/>
          <w:lang w:val="ru-RU" w:bidi="ar-SA" w:eastAsia="ru-RU"/>
        </w:rPr>
        <w:t xml:space="preserve">контрольных (надзорных) мероприятий, правах контролируемых </w:t>
      </w:r>
      <w:r>
        <w:rPr>
          <w:color w:val="000000"/>
          <w:sz w:val="28"/>
          <w:szCs w:val="28"/>
          <w:lang w:val="ru-RU" w:bidi="ar-SA" w:eastAsia="ru-RU"/>
        </w:rPr>
        <w:t xml:space="preserve">лиц при проведении контрольных;</w:t>
      </w:r>
      <w:r>
        <w:rPr>
          <w:color w:val="000000"/>
          <w:sz w:val="28"/>
          <w:szCs w:val="28"/>
          <w:lang w:val="ru-RU" w:bidi="ar-SA" w:eastAsia="ru-RU"/>
        </w:rPr>
      </w:r>
      <w:r/>
    </w:p>
    <w:p>
      <w:pPr>
        <w:pStyle w:val="415"/>
        <w:ind w:left="0" w:firstLine="567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3) снижением количества правонарушений при осуществлении контролируемыми лицами своей деятельности;</w:t>
      </w:r>
      <w:r/>
    </w:p>
    <w:p>
      <w:pPr>
        <w:pStyle w:val="415"/>
        <w:ind w:left="0" w:firstLine="567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4) понят</w:t>
      </w:r>
      <w:r>
        <w:rPr>
          <w:color w:val="000000"/>
          <w:sz w:val="28"/>
          <w:szCs w:val="28"/>
          <w:lang w:val="ru-RU" w:bidi="ar-SA" w:eastAsia="ru-RU"/>
        </w:rPr>
        <w:t xml:space="preserve">ностью обязательных требований, обеспечивающей их одноз</w:t>
      </w:r>
      <w:r>
        <w:rPr>
          <w:color w:val="000000"/>
          <w:sz w:val="28"/>
          <w:szCs w:val="28"/>
          <w:lang w:val="ru-RU" w:bidi="ar-SA" w:eastAsia="ru-RU"/>
        </w:rPr>
        <w:t xml:space="preserve">начное толкование контролируемыми</w:t>
      </w:r>
      <w:r>
        <w:rPr>
          <w:color w:val="000000"/>
          <w:sz w:val="28"/>
          <w:szCs w:val="28"/>
          <w:lang w:val="ru-RU" w:bidi="ar-SA" w:eastAsia="ru-RU"/>
        </w:rPr>
        <w:t xml:space="preserve"> лиц</w:t>
      </w:r>
      <w:r>
        <w:rPr>
          <w:color w:val="000000"/>
          <w:sz w:val="28"/>
          <w:szCs w:val="28"/>
          <w:lang w:val="ru-RU" w:bidi="ar-SA" w:eastAsia="ru-RU"/>
        </w:rPr>
        <w:t xml:space="preserve">ами</w:t>
      </w:r>
      <w:r>
        <w:rPr>
          <w:color w:val="000000"/>
          <w:sz w:val="28"/>
          <w:szCs w:val="28"/>
          <w:lang w:val="ru-RU" w:bidi="ar-SA" w:eastAsia="ru-RU"/>
        </w:rPr>
        <w:t xml:space="preserve"> и</w:t>
      </w:r>
      <w:r>
        <w:rPr>
          <w:color w:val="000000"/>
          <w:sz w:val="28"/>
          <w:szCs w:val="28"/>
          <w:lang w:val="ru-RU" w:bidi="ar-SA" w:eastAsia="ru-RU"/>
        </w:rPr>
        <w:t xml:space="preserve"> должностными лицами</w:t>
      </w:r>
      <w:r>
        <w:rPr>
          <w:color w:val="000000"/>
          <w:sz w:val="28"/>
          <w:szCs w:val="28"/>
          <w:lang w:val="ru-RU" w:bidi="ar-SA" w:eastAsia="ru-RU"/>
        </w:rPr>
        <w:t xml:space="preserve"> </w:t>
      </w:r>
      <w:r>
        <w:rPr>
          <w:sz w:val="28"/>
          <w:szCs w:val="28"/>
          <w:lang w:val="ru-RU" w:bidi="ar-SA" w:eastAsia="ru-RU"/>
        </w:rPr>
        <w:t xml:space="preserve">контрольного (надзорного) органа</w:t>
      </w:r>
      <w:r>
        <w:rPr>
          <w:color w:val="000000"/>
          <w:sz w:val="28"/>
          <w:szCs w:val="28"/>
          <w:lang w:val="ru-RU" w:bidi="ar-SA" w:eastAsia="ru-RU"/>
        </w:rPr>
        <w:t xml:space="preserve">;</w:t>
      </w:r>
      <w:r/>
    </w:p>
    <w:p>
      <w:pPr>
        <w:pStyle w:val="415"/>
        <w:ind w:left="0" w:firstLine="567"/>
        <w:spacing w:lineRule="auto" w:line="276"/>
        <w:rPr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5) </w:t>
      </w:r>
      <w:r>
        <w:rPr>
          <w:color w:val="000000"/>
          <w:sz w:val="28"/>
          <w:szCs w:val="28"/>
          <w:lang w:val="ru-RU" w:bidi="ar-SA" w:eastAsia="ru-RU"/>
        </w:rPr>
        <w:t xml:space="preserve">вовлечением контролируемых лиц в регулярное взаимодействие </w:t>
        <w:br/>
        <w:t xml:space="preserve">с </w:t>
      </w:r>
      <w:r>
        <w:rPr>
          <w:sz w:val="28"/>
          <w:szCs w:val="28"/>
          <w:lang w:val="ru-RU" w:bidi="ar-SA" w:eastAsia="ru-RU"/>
        </w:rPr>
        <w:t xml:space="preserve">контрольным (надзорным) органам.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 xml:space="preserve">34</w:t>
      </w:r>
      <w:r>
        <w:rPr>
          <w:sz w:val="28"/>
          <w:szCs w:val="28"/>
          <w:lang w:val="ru-RU" w:bidi="ar-SA" w:eastAsia="ru-RU"/>
        </w:rPr>
        <w:t xml:space="preserve">.</w:t>
      </w:r>
      <w:r>
        <w:rPr>
          <w:color w:val="000000"/>
          <w:sz w:val="28"/>
          <w:szCs w:val="28"/>
          <w:lang w:val="ru-RU" w:bidi="ar-SA" w:eastAsia="ru-RU"/>
        </w:rPr>
        <w:t xml:space="preserve"> </w:t>
      </w:r>
      <w:r>
        <w:rPr>
          <w:color w:val="000000"/>
          <w:sz w:val="28"/>
          <w:szCs w:val="28"/>
          <w:lang w:val="ru-RU" w:bidi="ar-SA" w:eastAsia="ru-RU"/>
        </w:rPr>
        <w:t xml:space="preserve">Ос</w:t>
      </w:r>
      <w:r>
        <w:rPr>
          <w:color w:val="000000"/>
          <w:sz w:val="28"/>
          <w:szCs w:val="28"/>
          <w:lang w:val="ru-RU" w:bidi="ar-SA" w:eastAsia="ru-RU"/>
        </w:rPr>
        <w:t xml:space="preserve">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</w:t>
      </w:r>
      <w:r>
        <w:rPr>
          <w:color w:val="000000"/>
          <w:sz w:val="28"/>
          <w:szCs w:val="28"/>
          <w:lang w:val="ru-RU" w:bidi="ar-SA" w:eastAsia="ru-RU"/>
        </w:rPr>
        <w:t xml:space="preserve">ются, в том числе методами социологических исследований.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 xml:space="preserve">35</w:t>
      </w:r>
      <w:r>
        <w:rPr>
          <w:sz w:val="28"/>
          <w:szCs w:val="28"/>
          <w:lang w:val="ru-RU" w:bidi="ar-SA" w:eastAsia="ru-RU"/>
        </w:rPr>
        <w:t xml:space="preserve">.</w:t>
      </w:r>
      <w:r>
        <w:rPr>
          <w:color w:val="4472C4"/>
          <w:sz w:val="28"/>
          <w:szCs w:val="28"/>
          <w:lang w:val="ru-RU" w:bidi="ar-SA" w:eastAsia="ru-RU"/>
        </w:rPr>
        <w:t xml:space="preserve"> </w:t>
      </w:r>
      <w:r>
        <w:rPr>
          <w:color w:val="000000"/>
          <w:sz w:val="28"/>
          <w:szCs w:val="28"/>
          <w:lang w:val="ru-RU" w:bidi="ar-SA" w:eastAsia="ru-RU"/>
        </w:rPr>
        <w:t xml:space="preserve">Ключевыми направлениями социологических исследований являются: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1) информированность контролируемых лиц об обязательных требованиях, </w:t>
      </w:r>
      <w:r>
        <w:rPr>
          <w:color w:val="000000"/>
          <w:sz w:val="28"/>
          <w:szCs w:val="28"/>
          <w:lang w:val="ru-RU" w:bidi="ar-SA" w:eastAsia="ru-RU"/>
        </w:rPr>
        <w:br/>
      </w:r>
      <w:r>
        <w:rPr>
          <w:color w:val="000000"/>
          <w:sz w:val="28"/>
          <w:szCs w:val="28"/>
          <w:lang w:val="ru-RU" w:bidi="ar-SA" w:eastAsia="ru-RU"/>
        </w:rPr>
        <w:t xml:space="preserve">о принятых и готовящихся изменениях в системе обязательных тре</w:t>
      </w:r>
      <w:r>
        <w:rPr>
          <w:color w:val="000000"/>
          <w:sz w:val="28"/>
          <w:szCs w:val="28"/>
          <w:lang w:val="ru-RU" w:bidi="ar-SA" w:eastAsia="ru-RU"/>
        </w:rPr>
        <w:t xml:space="preserve">бований, </w:t>
      </w:r>
      <w:r>
        <w:rPr>
          <w:color w:val="000000"/>
          <w:sz w:val="28"/>
          <w:szCs w:val="28"/>
          <w:lang w:val="ru-RU" w:bidi="ar-SA" w:eastAsia="ru-RU"/>
        </w:rPr>
        <w:br/>
      </w:r>
      <w:r>
        <w:rPr>
          <w:color w:val="000000"/>
          <w:sz w:val="28"/>
          <w:szCs w:val="28"/>
          <w:lang w:val="ru-RU" w:bidi="ar-SA" w:eastAsia="ru-RU"/>
        </w:rPr>
        <w:t xml:space="preserve">о порядке проведения контрольных (надзорных) мероприятий, правах контролируемых лиц в ходе проверки;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2) понятность обязательных требований, обеспечивающая их однозначное толкование контролируемы</w:t>
      </w:r>
      <w:r>
        <w:rPr>
          <w:color w:val="000000"/>
          <w:sz w:val="28"/>
          <w:szCs w:val="28"/>
          <w:lang w:val="ru-RU" w:bidi="ar-SA" w:eastAsia="ru-RU"/>
        </w:rPr>
        <w:t xml:space="preserve">ми лицами </w:t>
      </w:r>
      <w:r>
        <w:rPr>
          <w:color w:val="000000"/>
          <w:sz w:val="28"/>
          <w:szCs w:val="28"/>
          <w:lang w:val="ru-RU" w:bidi="ar-SA" w:eastAsia="ru-RU"/>
        </w:rPr>
        <w:t xml:space="preserve">и</w:t>
      </w:r>
      <w:r>
        <w:rPr>
          <w:color w:val="000000"/>
          <w:sz w:val="28"/>
          <w:szCs w:val="28"/>
          <w:lang w:val="ru-RU" w:bidi="ar-SA" w:eastAsia="ru-RU"/>
        </w:rPr>
        <w:t xml:space="preserve"> должностными лицами</w:t>
      </w:r>
      <w:r>
        <w:rPr>
          <w:color w:val="000000"/>
          <w:sz w:val="28"/>
          <w:szCs w:val="28"/>
          <w:lang w:val="ru-RU" w:bidi="ar-SA" w:eastAsia="ru-RU"/>
        </w:rPr>
        <w:t xml:space="preserve"> </w:t>
      </w:r>
      <w:r>
        <w:rPr>
          <w:sz w:val="28"/>
          <w:szCs w:val="28"/>
          <w:lang w:val="ru-RU" w:bidi="ar-SA" w:eastAsia="ru-RU"/>
        </w:rPr>
        <w:t xml:space="preserve">контрольного (надзор</w:t>
      </w:r>
      <w:r>
        <w:rPr>
          <w:sz w:val="28"/>
          <w:szCs w:val="28"/>
          <w:lang w:val="ru-RU" w:bidi="ar-SA" w:eastAsia="ru-RU"/>
        </w:rPr>
        <w:t xml:space="preserve">ного) органа;</w:t>
      </w:r>
      <w:r>
        <w:rPr>
          <w:color w:val="000000"/>
          <w:sz w:val="28"/>
          <w:szCs w:val="28"/>
          <w:lang w:val="ru-RU" w:bidi="ar-SA" w:eastAsia="ru-RU"/>
        </w:rPr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3) вовлечение контролируемых лиц в регулярное взаимодействие </w:t>
      </w:r>
      <w:r>
        <w:rPr>
          <w:color w:val="000000"/>
          <w:sz w:val="28"/>
          <w:szCs w:val="28"/>
          <w:lang w:val="ru-RU" w:bidi="ar-SA" w:eastAsia="ru-RU"/>
        </w:rPr>
        <w:br/>
      </w:r>
      <w:r>
        <w:rPr>
          <w:color w:val="000000"/>
          <w:sz w:val="28"/>
          <w:szCs w:val="28"/>
          <w:lang w:val="ru-RU" w:bidi="ar-SA" w:eastAsia="ru-RU"/>
        </w:rPr>
        <w:t xml:space="preserve">с </w:t>
      </w:r>
      <w:r>
        <w:rPr>
          <w:sz w:val="28"/>
          <w:szCs w:val="28"/>
          <w:lang w:val="ru-RU" w:bidi="ar-SA" w:eastAsia="ru-RU"/>
        </w:rPr>
        <w:t xml:space="preserve">контрольным (надзорным) органом</w:t>
      </w:r>
      <w:r>
        <w:rPr>
          <w:color w:val="000000"/>
          <w:sz w:val="28"/>
          <w:szCs w:val="28"/>
          <w:lang w:val="ru-RU" w:bidi="ar-SA" w:eastAsia="ru-RU"/>
        </w:rPr>
        <w:t xml:space="preserve">.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 w:bidi="ar-SA" w:eastAsia="ru-RU"/>
        </w:rPr>
        <w:t xml:space="preserve">36</w:t>
      </w:r>
      <w:r>
        <w:rPr>
          <w:sz w:val="28"/>
          <w:szCs w:val="28"/>
          <w:lang w:val="ru-RU" w:bidi="ar-SA" w:eastAsia="ru-RU"/>
        </w:rPr>
        <w:t xml:space="preserve">.</w:t>
      </w:r>
      <w:r>
        <w:rPr>
          <w:color w:val="000000"/>
          <w:sz w:val="28"/>
          <w:szCs w:val="28"/>
          <w:lang w:val="ru-RU" w:bidi="ar-SA" w:eastAsia="ru-RU"/>
        </w:rPr>
        <w:t xml:space="preserve"> О</w:t>
      </w:r>
      <w:r>
        <w:rPr>
          <w:color w:val="000000"/>
          <w:sz w:val="28"/>
          <w:szCs w:val="28"/>
          <w:lang w:val="ru-RU" w:bidi="ar-SA" w:eastAsia="ru-RU"/>
        </w:rPr>
        <w:t xml:space="preserve">ценка эффективности реализации п</w:t>
      </w:r>
      <w:r>
        <w:rPr>
          <w:color w:val="000000"/>
          <w:sz w:val="28"/>
          <w:szCs w:val="28"/>
          <w:lang w:val="ru-RU" w:bidi="ar-SA" w:eastAsia="ru-RU"/>
        </w:rPr>
        <w:t xml:space="preserve">рограммы профилактики рассчитывается ежегодно (по итогам календарного года).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37.</w:t>
      </w:r>
      <w:r>
        <w:rPr>
          <w:color w:val="000000"/>
          <w:sz w:val="28"/>
          <w:szCs w:val="28"/>
          <w:lang w:val="ru-RU" w:bidi="ar-SA" w:eastAsia="ru-RU"/>
        </w:rPr>
        <w:t xml:space="preserve"> </w:t>
      </w:r>
      <w:r>
        <w:rPr>
          <w:color w:val="000000"/>
          <w:sz w:val="28"/>
          <w:szCs w:val="28"/>
          <w:lang w:val="ru-RU" w:bidi="ar-SA" w:eastAsia="ru-RU"/>
        </w:rPr>
        <w:t xml:space="preserve">Отклонение фактического зна</w:t>
      </w:r>
      <w:r>
        <w:rPr>
          <w:color w:val="000000"/>
          <w:sz w:val="28"/>
          <w:szCs w:val="28"/>
          <w:lang w:val="ru-RU" w:bidi="ar-SA" w:eastAsia="ru-RU"/>
        </w:rPr>
        <w:t xml:space="preserve">чения показателя от планового значения показателя профилактических мероприятий определяется по формуле:</w:t>
      </w:r>
      <w:r/>
    </w:p>
    <w:p>
      <w:pPr>
        <w:pStyle w:val="415"/>
        <w:ind w:left="0"/>
        <w:jc w:val="center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position w:val="-28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4440" cy="51816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2344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7.2pt;height:40.8pt;">
                <v:path textboxrect="0,0,0,0"/>
                <v:imagedata r:id="rId9" o:title=""/>
              </v:shape>
            </w:pict>
          </mc:Fallback>
        </mc:AlternateContent>
      </w:r>
      <w:r>
        <w:rPr>
          <w:color w:val="000000"/>
          <w:sz w:val="28"/>
          <w:szCs w:val="28"/>
          <w:lang w:val="ru-RU" w:bidi="ar-SA" w:eastAsia="ru-RU"/>
        </w:rPr>
        <w:t xml:space="preserve">где: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i - номер показателя;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- отклонение фактического значения i-го показателя от планового значения </w:t>
      </w:r>
      <w:r>
        <w:rPr>
          <w:color w:val="000000"/>
          <w:sz w:val="28"/>
          <w:szCs w:val="28"/>
          <w:lang w:val="ru-RU" w:bidi="ar-SA" w:eastAsia="ru-RU"/>
        </w:rPr>
        <w:br/>
      </w:r>
      <w:r>
        <w:rPr>
          <w:color w:val="000000"/>
          <w:sz w:val="28"/>
          <w:szCs w:val="28"/>
          <w:lang w:val="ru-RU" w:bidi="ar-SA" w:eastAsia="ru-RU"/>
        </w:rPr>
        <w:t xml:space="preserve">i-го показателя;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- фактическое значение i-го показ</w:t>
      </w:r>
      <w:r>
        <w:rPr>
          <w:color w:val="000000"/>
          <w:sz w:val="28"/>
          <w:szCs w:val="28"/>
          <w:lang w:val="ru-RU" w:bidi="ar-SA" w:eastAsia="ru-RU"/>
        </w:rPr>
        <w:t xml:space="preserve">ателя профилактических мероприятий;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- плановое значение i-го показателя профилактических мероприятий.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38. </w:t>
      </w:r>
      <w:r>
        <w:rPr>
          <w:color w:val="000000"/>
          <w:sz w:val="28"/>
          <w:szCs w:val="28"/>
          <w:lang w:val="ru-RU" w:bidi="ar-SA" w:eastAsia="ru-RU"/>
        </w:rPr>
        <w:t xml:space="preserve">В случае подсчета «понижаемого»</w:t>
      </w:r>
      <w:r>
        <w:rPr>
          <w:color w:val="000000"/>
          <w:sz w:val="28"/>
          <w:szCs w:val="28"/>
          <w:lang w:val="ru-RU" w:bidi="ar-SA" w:eastAsia="ru-RU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</w:t>
      </w:r>
      <w:r>
        <w:rPr>
          <w:color w:val="000000"/>
          <w:sz w:val="28"/>
          <w:szCs w:val="28"/>
          <w:lang w:val="ru-RU" w:bidi="ar-SA" w:eastAsia="ru-RU"/>
        </w:rPr>
        <w:t xml:space="preserve">тклонение определяется по формуле:</w:t>
      </w:r>
      <w:r/>
    </w:p>
    <w:p>
      <w:pPr>
        <w:pStyle w:val="415"/>
        <w:ind w:left="0"/>
        <w:jc w:val="center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position w:val="-28"/>
        </w:rPr>
      </w:r>
      <w:r>
        <w:rPr>
          <w:color w:val="000000"/>
          <w:sz w:val="28"/>
          <w:szCs w:val="28"/>
          <w:lang w:val="ru-RU" w:bidi="ar-SA" w:eastAsia="ru-RU"/>
        </w:rPr>
        <w:t xml:space="preserve">где: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при </w:t>
      </w:r>
      <w:r>
        <w:rPr>
          <w:color w:val="000000"/>
          <w:sz w:val="28"/>
          <w:szCs w:val="28"/>
          <w:lang w:val="ru-RU" w:bidi="ar-SA" w:eastAsia="ru-RU"/>
        </w:rPr>
        <w:t xml:space="preserve">, то </w:t>
      </w:r>
      <w:r>
        <w:rPr>
          <w:color w:val="000000"/>
          <w:sz w:val="28"/>
          <w:szCs w:val="28"/>
          <w:lang w:val="ru-RU" w:bidi="ar-SA" w:eastAsia="ru-RU"/>
        </w:rPr>
        <w:t xml:space="preserve">.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39. </w:t>
      </w:r>
      <w:r>
        <w:rPr>
          <w:color w:val="000000"/>
          <w:sz w:val="28"/>
          <w:szCs w:val="28"/>
          <w:lang w:val="ru-RU" w:bidi="ar-SA" w:eastAsia="ru-RU"/>
        </w:rPr>
        <w:t xml:space="preserve">О</w:t>
      </w:r>
      <w:r>
        <w:rPr>
          <w:color w:val="000000"/>
          <w:sz w:val="28"/>
          <w:szCs w:val="28"/>
          <w:lang w:val="ru-RU" w:bidi="ar-SA" w:eastAsia="ru-RU"/>
        </w:rPr>
        <w:t xml:space="preserve">ценка эффективности реализации п</w:t>
      </w:r>
      <w:r>
        <w:rPr>
          <w:color w:val="000000"/>
          <w:sz w:val="28"/>
          <w:szCs w:val="28"/>
          <w:lang w:val="ru-RU" w:bidi="ar-SA" w:eastAsia="ru-RU"/>
        </w:rPr>
        <w:t xml:space="preserve">рограммы профилактики рассчитывается по следующей формуле:</w:t>
      </w:r>
      <w:r/>
    </w:p>
    <w:p>
      <w:pPr>
        <w:pStyle w:val="415"/>
        <w:ind w:left="0" w:firstLine="709"/>
        <w:jc w:val="center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position w:val="-28"/>
          <w:sz w:val="28"/>
          <w:szCs w:val="28"/>
          <w:lang w:val="ru-RU" w:bidi="ar-SA" w:eastAsia="ru-RU"/>
        </w:rPr>
      </w:r>
      <w:r>
        <w:rPr>
          <w:color w:val="000000"/>
          <w:sz w:val="28"/>
          <w:szCs w:val="28"/>
          <w:lang w:val="ru-RU" w:bidi="ar-SA" w:eastAsia="ru-RU"/>
        </w:rPr>
        <w:t xml:space="preserve">где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Пэф - Итоговая о</w:t>
      </w:r>
      <w:r>
        <w:rPr>
          <w:color w:val="000000"/>
          <w:sz w:val="28"/>
          <w:szCs w:val="28"/>
          <w:lang w:val="ru-RU" w:bidi="ar-SA" w:eastAsia="ru-RU"/>
        </w:rPr>
        <w:t xml:space="preserve">ценка эффективности реализации п</w:t>
      </w:r>
      <w:r>
        <w:rPr>
          <w:color w:val="000000"/>
          <w:sz w:val="28"/>
          <w:szCs w:val="28"/>
          <w:lang w:val="ru-RU" w:bidi="ar-SA" w:eastAsia="ru-RU"/>
        </w:rPr>
        <w:t xml:space="preserve">рограммы профилактики;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position w:val="-12"/>
          <w:sz w:val="28"/>
          <w:szCs w:val="28"/>
          <w:lang w:val="ru-RU" w:bidi="ar-SA" w:eastAsia="ru-RU"/>
        </w:rPr>
      </w:r>
      <w:r>
        <w:rPr>
          <w:color w:val="000000"/>
          <w:sz w:val="28"/>
          <w:szCs w:val="28"/>
          <w:lang w:val="ru-RU" w:bidi="ar-SA" w:eastAsia="ru-RU"/>
        </w:rPr>
        <w:t xml:space="preserve"> - сумма отклонений фа</w:t>
      </w:r>
      <w:r>
        <w:rPr>
          <w:color w:val="000000"/>
          <w:sz w:val="28"/>
          <w:szCs w:val="28"/>
          <w:lang w:val="ru-RU" w:bidi="ar-SA" w:eastAsia="ru-RU"/>
        </w:rPr>
        <w:t xml:space="preserve">ктическ</w:t>
      </w:r>
      <w:r>
        <w:rPr>
          <w:color w:val="000000"/>
          <w:sz w:val="28"/>
          <w:szCs w:val="28"/>
          <w:lang w:val="ru-RU" w:bidi="ar-SA" w:eastAsia="ru-RU"/>
        </w:rPr>
        <w:t xml:space="preserve">их значений показателей п</w:t>
      </w:r>
      <w:r>
        <w:rPr>
          <w:color w:val="000000"/>
          <w:sz w:val="28"/>
          <w:szCs w:val="28"/>
          <w:lang w:val="ru-RU" w:bidi="ar-SA" w:eastAsia="ru-RU"/>
        </w:rPr>
        <w:t xml:space="preserve">рограммы профилактики от плановых значений по итогам календарного года;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N </w:t>
      </w:r>
      <w:r>
        <w:rPr>
          <w:color w:val="000000"/>
          <w:sz w:val="28"/>
          <w:szCs w:val="28"/>
          <w:lang w:val="ru-RU" w:bidi="ar-SA" w:eastAsia="ru-RU"/>
        </w:rPr>
        <w:t xml:space="preserve">- общее количество показателей п</w:t>
      </w:r>
      <w:r>
        <w:rPr>
          <w:color w:val="000000"/>
          <w:sz w:val="28"/>
          <w:szCs w:val="28"/>
          <w:lang w:val="ru-RU" w:bidi="ar-SA" w:eastAsia="ru-RU"/>
        </w:rPr>
        <w:t xml:space="preserve">рограммы профилактики.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40. </w:t>
      </w:r>
      <w:r>
        <w:rPr>
          <w:color w:val="000000"/>
          <w:sz w:val="28"/>
          <w:szCs w:val="28"/>
          <w:lang w:val="ru-RU" w:bidi="ar-SA" w:eastAsia="ru-RU"/>
        </w:rPr>
        <w:t xml:space="preserve">В случае, если оценка эффективности реализации Программы профилактики более 100 %, то считать Пэф </w:t>
      </w:r>
      <w:r>
        <w:rPr>
          <w:color w:val="000000"/>
          <w:sz w:val="28"/>
          <w:szCs w:val="28"/>
          <w:lang w:val="ru-RU" w:bidi="ar-SA" w:eastAsia="ru-RU"/>
        </w:rPr>
        <w:t xml:space="preserve">равным 100 %.</w:t>
      </w:r>
      <w:r/>
    </w:p>
    <w:p>
      <w:pPr>
        <w:pStyle w:val="415"/>
        <w:ind w:left="0" w:firstLine="709"/>
        <w:spacing w:lineRule="auto" w:line="276"/>
        <w:rPr>
          <w:color w:val="000000"/>
          <w:sz w:val="28"/>
          <w:szCs w:val="28"/>
          <w:lang w:val="ru-RU" w:bidi="ar-SA" w:eastAsia="ru-RU"/>
        </w:rPr>
      </w:pPr>
      <w:r>
        <w:rPr>
          <w:color w:val="000000"/>
          <w:sz w:val="28"/>
          <w:szCs w:val="28"/>
          <w:lang w:val="ru-RU" w:bidi="ar-SA" w:eastAsia="ru-RU"/>
        </w:rPr>
        <w:t xml:space="preserve">По итогам оценки эффективн</w:t>
      </w:r>
      <w:r>
        <w:rPr>
          <w:color w:val="000000"/>
          <w:sz w:val="28"/>
          <w:szCs w:val="28"/>
          <w:lang w:val="ru-RU" w:bidi="ar-SA" w:eastAsia="ru-RU"/>
        </w:rPr>
        <w:t xml:space="preserve">ости реализации п</w:t>
      </w:r>
      <w:r>
        <w:rPr>
          <w:color w:val="000000"/>
          <w:sz w:val="28"/>
          <w:szCs w:val="28"/>
          <w:lang w:val="ru-RU" w:bidi="ar-SA" w:eastAsia="ru-RU"/>
        </w:rPr>
        <w:t xml:space="preserve">рограммы профилактики определяется уровень профилактической работы контрольного (надзорного) органа.</w:t>
      </w:r>
      <w:r/>
    </w:p>
    <w:p>
      <w:pPr>
        <w:pStyle w:val="383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930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>
        <w:trPr>
          <w:trHeight w:val="21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оценка эффективности реализации программы профилактики</w:t>
            </w:r>
            <w:r/>
          </w:p>
          <w:p>
            <w:pPr>
              <w:pStyle w:val="383"/>
              <w:spacing w:lineRule="auto" w:line="24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менее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50%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ских мероприятий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  <w:br/>
              <w:t xml:space="preserve">от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51%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80%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/>
          </w:p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81%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90%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  <w:br/>
              <w:t xml:space="preserve">от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91%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результативности профилактической работы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контрольного (надзорного)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органа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Недопустимый уровень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уровень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Плановый уровень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лидерства</w:t>
            </w:r>
            <w:r/>
          </w:p>
        </w:tc>
      </w:tr>
    </w:tbl>
    <w:p>
      <w:pPr>
        <w:pStyle w:val="383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383"/>
        <w:jc w:val="center"/>
        <w:spacing w:after="0"/>
        <w:rPr>
          <w:rFonts w:ascii="Times New Roman" w:hAnsi="Times New Roman"/>
          <w:b/>
          <w:sz w:val="24"/>
          <w:szCs w:val="24"/>
        </w:rPr>
        <w:sectPr>
          <w:headerReference w:type="default" r:id="rId8"/>
          <w:footnotePr/>
          <w:type w:val="nextPage"/>
          <w:pgSz w:w="11906" w:h="16838" w:orient="portrait"/>
          <w:pgMar w:top="1134" w:right="567" w:bottom="1134" w:left="1134" w:header="425" w:footer="709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383"/>
        <w:ind w:right="4505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ind w:firstLine="893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рограмм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профилактики </w:t>
      </w:r>
      <w:r/>
    </w:p>
    <w:p>
      <w:pPr>
        <w:pStyle w:val="383"/>
        <w:ind w:firstLine="893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ind w:firstLine="893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ценностям при осуществлении  </w:t>
      </w:r>
      <w:r/>
    </w:p>
    <w:p>
      <w:pPr>
        <w:pStyle w:val="383"/>
        <w:ind w:firstLine="893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администрацией городского округа Котельники </w:t>
      </w:r>
      <w:r/>
    </w:p>
    <w:p>
      <w:pPr>
        <w:pStyle w:val="383"/>
        <w:ind w:firstLine="893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Московской области</w:t>
      </w:r>
      <w:r>
        <w:rPr>
          <w:rFonts w:ascii="Times New Roman" w:hAnsi="Times New Roman"/>
          <w:sz w:val="28"/>
          <w:szCs w:val="28"/>
        </w:rPr>
        <w:t xml:space="preserve">   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ind w:firstLine="893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контроля (надзора)</w:t>
      </w:r>
      <w:r/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ind w:left="8931"/>
        <w:spacing w:lineRule="auto" w:line="240" w:after="0"/>
        <w:rPr>
          <w:rFonts w:ascii="Times New Roman" w:hAnsi="Times New Roman"/>
          <w:i/>
          <w:color w:val="2E74B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автомоб</w:t>
      </w:r>
      <w:r>
        <w:rPr>
          <w:rFonts w:ascii="Times New Roman" w:hAnsi="Times New Roman"/>
          <w:sz w:val="28"/>
          <w:szCs w:val="28"/>
        </w:rPr>
        <w:t xml:space="preserve">ильном транспорте городском наземном электрическом транспорте </w:t>
        <w:br/>
        <w:t xml:space="preserve">и в дорожном хозяйстве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Мос</w:t>
      </w:r>
      <w:r>
        <w:rPr>
          <w:rFonts w:ascii="Times New Roman" w:hAnsi="Times New Roman"/>
          <w:sz w:val="28"/>
          <w:szCs w:val="28"/>
        </w:rPr>
        <w:t xml:space="preserve">ковской области в 2022-2024 годах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E74B5"/>
          <w:sz w:val="28"/>
          <w:szCs w:val="28"/>
        </w:rPr>
      </w:r>
      <w:r/>
      <w:r>
        <w:rPr>
          <w:rFonts w:ascii="Times New Roman" w:hAnsi="Times New Roman"/>
          <w:sz w:val="20"/>
          <w:szCs w:val="20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План-график</w:t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профилактических мероприятий администрации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</w:t>
        <w:br/>
        <w:t xml:space="preserve">и в дорожном хозяйстве на те</w:t>
      </w:r>
      <w:r>
        <w:rPr>
          <w:rFonts w:ascii="Times New Roman" w:hAnsi="Times New Roman"/>
          <w:sz w:val="28"/>
          <w:szCs w:val="28"/>
        </w:rPr>
        <w:t xml:space="preserve">рритории Московской области </w:t>
      </w:r>
      <w:r>
        <w:rPr>
          <w:rFonts w:ascii="Times New Roman" w:hAnsi="Times New Roman"/>
          <w:sz w:val="28"/>
          <w:szCs w:val="28"/>
        </w:rPr>
        <w:t xml:space="preserve">на 2022 – 2024 годы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8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5146" w:type="dxa"/>
        <w:tblInd w:w="-1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40"/>
        <w:gridCol w:w="2408"/>
        <w:gridCol w:w="4747"/>
        <w:gridCol w:w="2179"/>
        <w:gridCol w:w="2289"/>
        <w:gridCol w:w="1557"/>
        <w:gridCol w:w="2"/>
        <w:gridCol w:w="1524"/>
      </w:tblGrid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№</w:t>
              <w:br/>
              <w:t xml:space="preserve">п/п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Форма мероприятия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Наименование мероприятия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Сроки исполнения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Ожидаемый результат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Адресаты мероприятий 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Ответственные лица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14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Первый этап 2022 год</w:t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1279"/>
        </w:trPr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Информирование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Актуализ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ация и размещение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на официальном сайте администрации городского округа Котельники Московской области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контрольный (надзорный) орган) в разделе «Контрольно-надзорная деятельность»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еречней правовых актов, содержащих обязательные требования, соблюдение которых оценивается при проведе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нии мероприятий по контролю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течение 10 дней с даты внесения изменений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нормативные правые акты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р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аздел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«Контрольно-надзорная деятельность»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контрольного (надзорного) органа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содержит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актуальн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управления градостроительства, архитектуры и дорожного хозяйства (далее начальник управления) Шелудяков В.Н.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restart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массовой информации и на официальном сайте контрольного (надзорного) органа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разделе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рольно-надзорная деятельность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»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жегодно до 15 марта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Предупреждение нарушений обязательных требований законодательства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Информирование контролируемых лиц путем подготовки и размещения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контрольного (надзорного) органа в разделе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Контрольно-надзорная деятельность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»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течение 10 дней с даты внесения изменений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 нормативные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</w:p>
        </w:tc>
      </w:tr>
      <w:tr>
        <w:trPr>
          <w:trHeight w:val="60"/>
        </w:trPr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правые акты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4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right w:val="single" w:color="000000" w:sz="6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restart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Размещение на официальном сайте контрольного (надзорного) орган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разделе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Контрольно-надзорная деятельность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» и актуализация проверочных листов (по содержанию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 технически) в соответствии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 действующим законодательством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течение 10 дней с даты утверждения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Устранение условий    и факторов, способствующих нарушению об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язательных требований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Актуализация информации о порядке и сроках осуществления контрольным (надзорным) органом муниципального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контроля (надзора)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порте и в дорожном хозяйстве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(далее – муниципальный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контроль (надзор) и размещение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 официальном сайте в разделе «Контрольно-надзорная деятельность» результатов контрольн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ых (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надзорных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/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Постоянно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овышение п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розрачности системы контрольно-надзорной деятельности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Обобщение правоприменительной практики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Формирование и размещение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на официальном сайте контрольного (надзорного) органа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разделе «Контрольно-надзо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рная деятельность»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еречня типичных нарушений обязательных требований, установленных правовыми актами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жегодно, но не позд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текущего за предыдущий год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Размещение на официальном сайте контрольного (надзорного) органа обзора правоприменительной практики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trHeight w:val="1060"/>
        </w:trPr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Выдача предостережений о недопустимости нарушений обязательных требований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Направление юрид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ическим лицам, индивидуальным предпринимателям предостережений о недопустимости нарушений обязательных требований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подконтрольной сфере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Постоянно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Минимизация возможных рисков нарушений обязательных требований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trHeight w:val="100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обязательных требований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консультирования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контролируемых лиц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письменному обращению по вопросу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соблюдения обязательных требований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рабочих дней со дня поступления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письменного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обращения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контрольный (н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адзорный) орган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trHeight w:val="315"/>
        </w:trPr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9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vMerge w:val="restart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Проведение приемов, в рамках которых юридическим лицам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 индивидуальным предпринимателям, а также гражданам разъясняются обязательные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требования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одного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месяца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со дня поступления такого обращения в контрольный (надзорный) орган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/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населения в подконтрольной сфере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  <w:trHeight w:val="13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Консультирование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юридических лиц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 ин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дивидуальных предпринимателей по вопросам соблюдения обязательных требований на семинарах (вебинарах)</w:t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24.03.2022</w:t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23.06.2022</w:t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22.09.2022</w:t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22.12.2022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онсультировани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телефону контролируемых лиц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вопросу соблюдения обязательных требований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 мере необходимости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Подготовка и р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азмещени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 официальном сайте контрольного (надз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орного) органа в разделе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Контрольно-надзорная деятельность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письменных разъяснений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 однотипным вопросам</w:t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 мере необходимости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4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Проведение профила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ктических визитов (обязательных профилактических визитов)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 осуществлению деятельности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определенной сфере, а также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отношении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объектов контроля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(надзора)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, отнесенных к категориям  высокого и значительного риска</w:t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 квартал (февраль);</w:t>
            </w:r>
            <w:r/>
          </w:p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 квартал (июнь);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 квартал (август);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IV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 квартал (ноябрь)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 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ируемых лиц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4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vMerge w:val="restart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кадрового состава контрольного (надзорного) органа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ежегодного доклада руководителю контрольного (надзорного) органа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контроле (надзоре)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10 рабочих дней до конца отчетного года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уполномоченных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контроля (надзора)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yellow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Должностные лица контрольного (надзорного) органа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  <w:trHeight w:val="1513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4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руководителем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контрольного (надзорного) органа мероприятий, направленных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повышение показателей результативности и эффективности контрольно-надзорной деятельности для должностных лиц, уполномоченных на осуществление госу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дарственного контроля (надзора)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Ежеквартально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номоченных на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уществление муниципального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онтроля (надзора)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yellow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Должностные лица контрольного (надзорного) органа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trHeight w:val="4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137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2408" w:type="dxa"/>
            <w:vAlign w:val="top"/>
            <w:vMerge w:val="restart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вопросам организации деятельности (с целью исключения фактов нарушения обязательных требований), размещенных на официальном сайте </w:t>
              <w:br/>
              <w:t xml:space="preserve">контрольного (надзорного) органа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разделе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Контрольно-надзорная деятельность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21.12.2022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Снижение административной нагру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зки на контролируемые лица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  <w:trHeight w:val="137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публичном пространстве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постоянной основе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Создание страниц в социальных сетях Коммуникация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 неограниченным кругом лиц по вопросам контрольной деятельности конт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рольного (надзорного) органа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4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gridSpan w:val="8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146" w:type="dxa"/>
            <w:vAlign w:val="center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Второй этап 2023-2024 годы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2408" w:type="dxa"/>
            <w:vAlign w:val="top"/>
            <w:vMerge w:val="restart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Информирование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Актуализация и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на официальном сайте контрольного (надзорного) органа в разделе «Контрольно-надзорная деятельность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течение 10 дней с даты внесения изменений в нормативные правые акты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р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аздел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е «Контрольно-надзорная деятельность»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офи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циальном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контрольного (надзорного) органа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содержит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актуальн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ой информации и на официальном сайте контрольного (надзорного) органа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разделе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Контрольно-надзорная деятельность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»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жегодно до 15 марта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Предупреждение нарушений обязательных требований законодательства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Информирование конт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ролируемых лиц путем подготовки и размещения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течение 10 дней с даты с даты внесения изменений в нормативные правовые акты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</w:tcBorders>
            <w:tcW w:w="2408" w:type="dxa"/>
            <w:vAlign w:val="top"/>
            <w:vMerge w:val="restart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требования, сроках и порядке вступления их в действие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Разме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щение на официальном сайте контрольного (надзорного) органа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 актуализация проверочных листов (по содержанию и технически)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соответствии с действующим законодательством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течение 10 дней с даты утверждения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Устранение условий и факторов, способствующих 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арушению обязательных требований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Актуализация информации о порядке и сроках осуществления контрольн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ым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(надзорн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ым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) орган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ом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контроля (надзора)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 размещение на официальном сайте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разделе «Контрольно-надзорна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я деятельность» результатов контрольн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ых (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надзорных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овышение прозрачности системы контрольно-надзорной деятельности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4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Обобщение правоприменительной практики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Формирование и размещение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на официально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м сайте контрольного (надзорного) органа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еречня типичных нарушений обязательных требований, установленных правовыми актами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eastAsia="Times New Roman"/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жегодно, но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июня текущего за предыдущий год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Размещение на официальном сайте контрольного (надзорного) органа обзора правоприменительной практики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Выдача предостережений о недопустимости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нарушений обязательных требований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Направление юридическим лицам, индивидуальным предпринимателям предостережений о недопустимости нарушений обязательных требований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подконтрольной сфере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Постоянно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Минимизация возможных рисков нарушений обязательных требов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аний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vMerge w:val="restart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обязательных требований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консультирования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контролируемых лиц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письменному обращению по вопросу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соблюдения обязательных требований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рабочих дней со дня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письменного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обращения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в контрольный (надзорный) орган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/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Проведение приемов, в рамках которых юридическим лицам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 индивидуальным предпринимателям, 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также гражданам разъя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сняются обязательные требования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одного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месяца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со дня поступления такого обращения в контрольный (надзорный) орган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/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населения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 подконтрольной сфере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Консультирование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юридических лиц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 индивидуальных предпринимателей по вопросам соблюдения обязательных требований на семинарах (вебинарах)</w:t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28.03.2023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.06.2023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.09.2023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.12.2023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27.03.2024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/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лиц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trHeight w:val="400"/>
        </w:trPr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40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restart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.06.2024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.09.2024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.12.2024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/>
                <w:sz w:val="2"/>
                <w:szCs w:val="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934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онсультировани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телефону контролируемых лиц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вопросу соблюдения обязательных требований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 мере необходимости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правовой грамотности контролируемых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лиц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cantSplit/>
          <w:trHeight w:val="74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408" w:type="dxa"/>
            <w:vAlign w:val="top"/>
            <w:vMerge w:val="continue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Подготовка и р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азмещени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 официальном сайте контрольного (надзорного) органа в разделе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Контрольно-надзорная деятельность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письменных разъяснений </w:t>
              <w:br/>
              <w:t xml:space="preserve">по однотипным вопросам</w:t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 мере необходимости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уровня п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равовой грамотности контролируемых лиц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>
          <w:trHeight w:val="25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Проведение профилактических визитов (обязательных профилактических визитов)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Проведение профилактических визитов в отношении контролируемых лиц, в том числе в отношении контролируемы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х лиц, приступающих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 осуществлению деятельности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определенной сфере, а также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отношении объектов контроля, отнесенных к категориям высокого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 значительного риска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 квартал (февраль);</w:t>
            </w:r>
            <w:r/>
          </w:p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 квартал (июнь);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 квартал (август);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ind w:left="60" w:right="6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en-US"/>
              </w:rPr>
              <w:t xml:space="preserve">IV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 квартал (ноябрь)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вышение уровня правовой грамотности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 информирование контролируемых лиц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кадрового состава контрольного (надзорного) органа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ежегодного доклада руководителю контрольно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(надзорного) органа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муниципальном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контроле (надзоре)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10 рабочих дней до конца отчетного года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уполномоченных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контроля (надзора)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"/>
                <w:szCs w:val="2"/>
                <w:highlight w:val="yellow"/>
              </w:rPr>
            </w:pPr>
            <w:r>
              <w:rPr>
                <w:rFonts w:ascii="Times New Roman" w:hAnsi="Times New Roman" w:eastAsia="Times New Roman"/>
                <w:sz w:val="2"/>
                <w:szCs w:val="2"/>
                <w:highlight w:val="yellow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Должностные лица 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  <w:bottom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контрольного (надзорного) органа мероприятий, направленных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контроля (надзора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уполномоченных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контроля (надзора)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Должностные лица 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4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Разработка и актуализация методических рекомендаций для контролируемых лиц, осуществляющих регулируемые виды д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еятельности, по вопросам организации деятельности (с целью исключения фактов нарушения обязательных требований), размещенных на официальном сайте контрольного (надзорного) органа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 разделе «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Контрольно-надзорная деятельность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.12.2023</w:t>
            </w:r>
            <w:r/>
          </w:p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.12.2024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Снижение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административной нагрузки на контролируемые лица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40" w:type="dxa"/>
            <w:vAlign w:val="top"/>
            <w:textDirection w:val="lrTb"/>
            <w:noWrap w:val="false"/>
          </w:tcPr>
          <w:p>
            <w:pPr>
              <w:pStyle w:val="391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</w:tcBorders>
            <w:tcW w:w="2408" w:type="dxa"/>
            <w:vAlign w:val="top"/>
            <w:textDirection w:val="lrTb"/>
            <w:noWrap w:val="false"/>
          </w:tcPr>
          <w:p>
            <w:pPr>
              <w:pStyle w:val="383"/>
              <w:ind w:left="60" w:right="60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4747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публичном пространстве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217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постоянной основе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89" w:type="dxa"/>
            <w:vAlign w:val="top"/>
            <w:textDirection w:val="lrTb"/>
            <w:noWrap w:val="false"/>
          </w:tcPr>
          <w:p>
            <w:pPr>
              <w:pStyle w:val="383"/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Создание страниц в социальных сетях. Коммуникации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 неограниченным кругом лиц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по вопросам контрольной деятельности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Контролируемые лица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13" w:type="dxa"/>
              <w:top w:w="13" w:type="dxa"/>
              <w:right w:w="13" w:type="dxa"/>
              <w:bottom w:w="13" w:type="dxa"/>
            </w:tcMar>
            <w:tcW w:w="1526" w:type="dxa"/>
            <w:vAlign w:val="top"/>
            <w:textDirection w:val="lrTb"/>
            <w:noWrap w:val="false"/>
          </w:tcPr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  <w:t xml:space="preserve">Начальник управления Шелудяков В.Н.</w:t>
            </w:r>
            <w:r>
              <w:rPr>
                <w:rFonts w:ascii="Times New Roman" w:hAnsi="Times New Roman" w:eastAsia="Times New Roman"/>
                <w:color w:val="0070C0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  <w:p>
            <w:pPr>
              <w:pStyle w:val="383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</w:p>
        </w:tc>
      </w:tr>
    </w:tbl>
    <w:p>
      <w:r/>
    </w:p>
    <w:sectPr>
      <w:footnotePr/>
      <w:type w:val="nextPage"/>
      <w:pgSz w:w="16838" w:h="11906" w:orient="landscape"/>
      <w:pgMar w:top="1135" w:right="567" w:bottom="851" w:left="1134" w:header="425" w:footer="709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13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383"/>
        <w:ind w:left="5722" w:hanging="118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383"/>
        <w:ind w:left="1984" w:hanging="12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3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38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3"/>
        <w:ind w:left="1699" w:hanging="990"/>
      </w:pPr>
    </w:lvl>
    <w:lvl w:ilvl="1">
      <w:start w:val="1"/>
      <w:numFmt w:val="decimal"/>
      <w:isLgl w:val="false"/>
      <w:suff w:val="tab"/>
      <w:lvlText w:val="%2)"/>
      <w:lvlJc w:val="left"/>
      <w:pPr>
        <w:pStyle w:val="383"/>
        <w:ind w:left="2036" w:hanging="1185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8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3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3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3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3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3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3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3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383"/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3">
    <w:name w:val="Обычный"/>
    <w:next w:val="383"/>
    <w:link w:val="383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384">
    <w:name w:val="Заголовок 1"/>
    <w:basedOn w:val="383"/>
    <w:next w:val="383"/>
    <w:link w:val="419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385">
    <w:name w:val="Заголовок 3"/>
    <w:basedOn w:val="383"/>
    <w:next w:val="385"/>
    <w:link w:val="411"/>
    <w:semiHidden/>
    <w:rPr>
      <w:rFonts w:ascii="Times New Roman" w:hAnsi="Times New Roman" w:eastAsia="Times New Roman"/>
      <w:b/>
      <w:bCs/>
      <w:sz w:val="26"/>
      <w:szCs w:val="26"/>
      <w:lang w:val="en-US" w:bidi="ru-RU" w:eastAsia="en-US"/>
    </w:rPr>
    <w:pPr>
      <w:ind w:left="533" w:firstLine="708"/>
      <w:spacing w:lineRule="auto" w:line="240" w:after="0"/>
      <w:widowControl w:val="off"/>
      <w:outlineLvl w:val="2"/>
    </w:pPr>
  </w:style>
  <w:style w:type="character" w:styleId="386">
    <w:name w:val="Основной шрифт абзаца"/>
    <w:next w:val="386"/>
    <w:link w:val="383"/>
  </w:style>
  <w:style w:type="table" w:styleId="387">
    <w:name w:val="Обычная таблица"/>
    <w:next w:val="387"/>
    <w:link w:val="383"/>
    <w:semiHidden/>
    <w:tblPr/>
  </w:style>
  <w:style w:type="numbering" w:styleId="388">
    <w:name w:val="Нет списка"/>
    <w:next w:val="388"/>
    <w:link w:val="383"/>
    <w:semiHidden/>
  </w:style>
  <w:style w:type="paragraph" w:styleId="389">
    <w:name w:val="ConsPlusNormal"/>
    <w:next w:val="389"/>
    <w:link w:val="412"/>
    <w:rPr>
      <w:rFonts w:ascii="Times New Roman" w:hAnsi="Times New Roman" w:eastAsia="Times New Roman"/>
      <w:sz w:val="28"/>
      <w:lang w:val="ru-RU" w:bidi="ar-SA" w:eastAsia="ru-RU"/>
    </w:rPr>
    <w:pPr>
      <w:widowControl w:val="off"/>
    </w:pPr>
  </w:style>
  <w:style w:type="paragraph" w:styleId="390">
    <w:name w:val="ConsPlusTitle"/>
    <w:next w:val="390"/>
    <w:link w:val="383"/>
    <w:rPr>
      <w:rFonts w:ascii="Times New Roman" w:hAnsi="Times New Roman" w:eastAsia="Times New Roman"/>
      <w:b/>
      <w:sz w:val="28"/>
      <w:lang w:val="ru-RU" w:bidi="ar-SA" w:eastAsia="ru-RU"/>
    </w:rPr>
    <w:pPr>
      <w:widowControl w:val="off"/>
    </w:pPr>
  </w:style>
  <w:style w:type="paragraph" w:styleId="391">
    <w:name w:val="Абзац списка"/>
    <w:basedOn w:val="383"/>
    <w:next w:val="391"/>
    <w:link w:val="383"/>
    <w:pPr>
      <w:contextualSpacing w:val="true"/>
      <w:ind w:left="720"/>
    </w:pPr>
  </w:style>
  <w:style w:type="paragraph" w:styleId="392">
    <w:name w:val="Table Paragraph"/>
    <w:basedOn w:val="383"/>
    <w:next w:val="392"/>
    <w:link w:val="383"/>
    <w:rPr>
      <w:rFonts w:ascii="Times New Roman" w:hAnsi="Times New Roman" w:eastAsia="Times New Roman"/>
      <w:lang w:bidi="ru-RU" w:eastAsia="ru-RU"/>
    </w:rPr>
    <w:pPr>
      <w:spacing w:lineRule="auto" w:line="240" w:after="0"/>
      <w:widowControl w:val="off"/>
    </w:pPr>
  </w:style>
  <w:style w:type="paragraph" w:styleId="393">
    <w:name w:val="Текст выноски"/>
    <w:basedOn w:val="383"/>
    <w:next w:val="393"/>
    <w:link w:val="394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394">
    <w:name w:val="Текст выноски Знак"/>
    <w:next w:val="394"/>
    <w:link w:val="393"/>
    <w:semiHidden/>
    <w:rPr>
      <w:rFonts w:ascii="Tahoma" w:hAnsi="Tahoma" w:eastAsia="Calibri"/>
      <w:sz w:val="16"/>
      <w:szCs w:val="16"/>
    </w:rPr>
  </w:style>
  <w:style w:type="paragraph" w:styleId="395">
    <w:name w:val="Верхний колонтитул"/>
    <w:basedOn w:val="383"/>
    <w:next w:val="395"/>
    <w:link w:val="396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96">
    <w:name w:val="Верхний колонтитул Знак"/>
    <w:next w:val="396"/>
    <w:link w:val="395"/>
    <w:rPr>
      <w:rFonts w:ascii="Calibri" w:hAnsi="Calibri" w:eastAsia="Calibri"/>
    </w:rPr>
  </w:style>
  <w:style w:type="paragraph" w:styleId="397">
    <w:name w:val="Нижний колонтитул"/>
    <w:basedOn w:val="383"/>
    <w:next w:val="397"/>
    <w:link w:val="398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98">
    <w:name w:val="Нижний колонтитул Знак"/>
    <w:next w:val="398"/>
    <w:link w:val="397"/>
    <w:rPr>
      <w:rFonts w:ascii="Calibri" w:hAnsi="Calibri" w:eastAsia="Calibri"/>
    </w:rPr>
  </w:style>
  <w:style w:type="character" w:styleId="399">
    <w:name w:val="Знак примечания"/>
    <w:next w:val="399"/>
    <w:link w:val="383"/>
    <w:semiHidden/>
    <w:rPr>
      <w:sz w:val="16"/>
      <w:szCs w:val="16"/>
    </w:rPr>
  </w:style>
  <w:style w:type="paragraph" w:styleId="400">
    <w:name w:val="Текст примечания"/>
    <w:basedOn w:val="383"/>
    <w:next w:val="400"/>
    <w:link w:val="401"/>
    <w:semiHidden/>
    <w:rPr>
      <w:sz w:val="20"/>
      <w:szCs w:val="20"/>
    </w:rPr>
  </w:style>
  <w:style w:type="character" w:styleId="401">
    <w:name w:val="Текст примечания Знак"/>
    <w:next w:val="401"/>
    <w:link w:val="400"/>
    <w:semiHidden/>
    <w:rPr>
      <w:lang w:eastAsia="en-US"/>
    </w:rPr>
  </w:style>
  <w:style w:type="paragraph" w:styleId="402">
    <w:name w:val="Тема примечания"/>
    <w:basedOn w:val="400"/>
    <w:next w:val="400"/>
    <w:link w:val="403"/>
    <w:semiHidden/>
    <w:rPr>
      <w:b/>
      <w:bCs/>
    </w:rPr>
  </w:style>
  <w:style w:type="character" w:styleId="403">
    <w:name w:val="Тема примечания Знак"/>
    <w:next w:val="403"/>
    <w:link w:val="402"/>
    <w:semiHidden/>
    <w:rPr>
      <w:b/>
      <w:bCs/>
      <w:lang w:eastAsia="en-US"/>
    </w:rPr>
  </w:style>
  <w:style w:type="paragraph" w:styleId="404">
    <w:name w:val="Рецензия"/>
    <w:next w:val="404"/>
    <w:link w:val="383"/>
    <w:hidden/>
    <w:semiHidden/>
    <w:rPr>
      <w:sz w:val="22"/>
      <w:szCs w:val="22"/>
      <w:lang w:val="ru-RU" w:bidi="ar-SA" w:eastAsia="en-US"/>
    </w:rPr>
  </w:style>
  <w:style w:type="paragraph" w:styleId="405">
    <w:name w:val="Текст концевой сноски"/>
    <w:basedOn w:val="383"/>
    <w:next w:val="405"/>
    <w:link w:val="406"/>
    <w:semiHidden/>
    <w:rPr>
      <w:sz w:val="20"/>
      <w:szCs w:val="20"/>
    </w:rPr>
  </w:style>
  <w:style w:type="character" w:styleId="406">
    <w:name w:val="Текст концевой сноски Знак"/>
    <w:next w:val="406"/>
    <w:link w:val="405"/>
    <w:semiHidden/>
    <w:rPr>
      <w:lang w:eastAsia="en-US"/>
    </w:rPr>
  </w:style>
  <w:style w:type="character" w:styleId="407">
    <w:name w:val="Знак концевой сноски"/>
    <w:next w:val="407"/>
    <w:link w:val="383"/>
    <w:semiHidden/>
    <w:rPr>
      <w:vertAlign w:val="superscript"/>
    </w:rPr>
  </w:style>
  <w:style w:type="paragraph" w:styleId="408">
    <w:name w:val="Текст сноски"/>
    <w:basedOn w:val="383"/>
    <w:next w:val="408"/>
    <w:link w:val="409"/>
    <w:semiHidden/>
    <w:rPr>
      <w:sz w:val="20"/>
      <w:szCs w:val="20"/>
    </w:rPr>
  </w:style>
  <w:style w:type="character" w:styleId="409">
    <w:name w:val="Текст сноски Знак"/>
    <w:next w:val="409"/>
    <w:link w:val="408"/>
    <w:semiHidden/>
    <w:rPr>
      <w:lang w:eastAsia="en-US"/>
    </w:rPr>
  </w:style>
  <w:style w:type="character" w:styleId="410">
    <w:name w:val="Знак сноски"/>
    <w:next w:val="410"/>
    <w:link w:val="383"/>
    <w:semiHidden/>
    <w:rPr>
      <w:vertAlign w:val="superscript"/>
    </w:rPr>
  </w:style>
  <w:style w:type="character" w:styleId="411">
    <w:name w:val="Заголовок 3 Знак"/>
    <w:next w:val="411"/>
    <w:link w:val="385"/>
    <w:semiHidden/>
    <w:rPr>
      <w:rFonts w:ascii="Times New Roman" w:hAnsi="Times New Roman" w:eastAsia="Times New Roman"/>
      <w:b/>
      <w:bCs/>
      <w:sz w:val="26"/>
      <w:szCs w:val="26"/>
      <w:lang w:val="en-US" w:bidi="ru-RU" w:eastAsia="en-US"/>
    </w:rPr>
  </w:style>
  <w:style w:type="character" w:styleId="412">
    <w:name w:val="ConsPlusNormal1"/>
    <w:next w:val="412"/>
    <w:link w:val="389"/>
    <w:rPr>
      <w:rFonts w:ascii="Times New Roman" w:hAnsi="Times New Roman" w:eastAsia="Times New Roman"/>
      <w:sz w:val="28"/>
    </w:rPr>
  </w:style>
  <w:style w:type="character" w:styleId="413">
    <w:name w:val="Гиперссылка"/>
    <w:next w:val="413"/>
    <w:link w:val="383"/>
    <w:rPr>
      <w:color w:val="0563C1"/>
      <w:u w:val="single"/>
    </w:rPr>
  </w:style>
  <w:style w:type="character" w:styleId="414">
    <w:name w:val="Неразрешенное упоминание"/>
    <w:next w:val="414"/>
    <w:link w:val="383"/>
    <w:semiHidden/>
    <w:rPr>
      <w:color w:val="605E5C"/>
      <w:shd w:val="clear" w:color="auto" w:fill="E1DFDD"/>
    </w:rPr>
  </w:style>
  <w:style w:type="paragraph" w:styleId="415">
    <w:name w:val="Основной текст"/>
    <w:basedOn w:val="383"/>
    <w:next w:val="415"/>
    <w:link w:val="416"/>
    <w:semiHidden/>
    <w:rPr>
      <w:rFonts w:ascii="Times New Roman" w:hAnsi="Times New Roman" w:eastAsia="Times New Roman"/>
      <w:sz w:val="26"/>
      <w:szCs w:val="26"/>
      <w:lang w:val="en-US" w:bidi="ru-RU" w:eastAsia="en-US"/>
    </w:rPr>
    <w:pPr>
      <w:ind w:left="533" w:firstLine="708"/>
      <w:jc w:val="both"/>
      <w:spacing w:lineRule="auto" w:line="240" w:after="0"/>
      <w:widowControl w:val="off"/>
    </w:pPr>
  </w:style>
  <w:style w:type="character" w:styleId="416">
    <w:name w:val="Основной текст Знак"/>
    <w:next w:val="416"/>
    <w:link w:val="415"/>
    <w:semiHidden/>
    <w:rPr>
      <w:rFonts w:ascii="Times New Roman" w:hAnsi="Times New Roman" w:eastAsia="Times New Roman"/>
      <w:sz w:val="26"/>
      <w:szCs w:val="26"/>
      <w:lang w:val="en-US" w:bidi="ru-RU" w:eastAsia="en-US"/>
    </w:rPr>
  </w:style>
  <w:style w:type="paragraph" w:styleId="417">
    <w:name w:val="Цветной список - Акцент 11"/>
    <w:basedOn w:val="383"/>
    <w:next w:val="417"/>
    <w:link w:val="383"/>
    <w:pPr>
      <w:contextualSpacing w:val="true"/>
      <w:ind w:left="720"/>
    </w:pPr>
  </w:style>
  <w:style w:type="character" w:styleId="418">
    <w:name w:val="Номер строки"/>
    <w:basedOn w:val="386"/>
    <w:next w:val="418"/>
    <w:link w:val="383"/>
    <w:semiHidden/>
  </w:style>
  <w:style w:type="character" w:styleId="419">
    <w:name w:val="Заголовок 1 Знак"/>
    <w:next w:val="419"/>
    <w:link w:val="384"/>
    <w:rPr>
      <w:rFonts w:ascii="Cambria" w:hAnsi="Cambria" w:eastAsia="Times New Roman"/>
      <w:b/>
      <w:bCs/>
      <w:sz w:val="32"/>
      <w:szCs w:val="32"/>
      <w:lang w:eastAsia="en-US"/>
    </w:rPr>
  </w:style>
  <w:style w:type="character" w:styleId="420">
    <w:name w:val="ConsPlusNormal Знак"/>
    <w:next w:val="420"/>
    <w:link w:val="383"/>
    <w:rPr>
      <w:rFonts w:ascii="Times New Roman" w:hAnsi="Times New Roman" w:eastAsia="Times New Roman"/>
      <w:sz w:val="28"/>
    </w:rPr>
  </w:style>
  <w:style w:type="character" w:styleId="421">
    <w:name w:val="Текст примечания Знак1"/>
    <w:next w:val="421"/>
    <w:link w:val="383"/>
    <w:semiHidden/>
    <w:rPr>
      <w:rFonts w:ascii="Calibri" w:hAnsi="Calibri" w:eastAsia="Calibri"/>
      <w:lang w:eastAsia="en-US"/>
    </w:rPr>
  </w:style>
  <w:style w:type="character" w:styleId="8025" w:default="1">
    <w:name w:val="Default Paragraph Font"/>
    <w:uiPriority w:val="1"/>
    <w:semiHidden/>
    <w:unhideWhenUsed/>
  </w:style>
  <w:style w:type="numbering" w:styleId="8026" w:default="1">
    <w:name w:val="No List"/>
    <w:uiPriority w:val="99"/>
    <w:semiHidden/>
    <w:unhideWhenUsed/>
  </w:style>
  <w:style w:type="paragraph" w:styleId="8027" w:default="1">
    <w:name w:val="Normal"/>
    <w:qFormat/>
  </w:style>
  <w:style w:type="table" w:styleId="80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2022-01-12T12:07:47Z</dcterms:modified>
</cp:coreProperties>
</file>